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1436/QĐ-UBND Về việc phê duyệt điều chỉnh lại Đề án cải cách thủ tục hành chính </w:t>
        <w:br/>
        <w:t>theo cơ chế “một cửa” của Sở Kế hoạch &amp;amp; Đầu tư Bình Thuận</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1436/QĐ-UBND</w:t>
      </w:r>
      <w:r>
        <w:rPr>
          <w:b w:val="0"/>
          <w:i w:val="0"/>
        </w:rPr>
        <w:br/>
      </w:r>
      <w:r>
        <w:rPr>
          <w:b w:val="0"/>
          <w:i w:val="0"/>
        </w:rPr>
        <w:br/>
      </w:r>
      <w:r>
        <w:rPr>
          <w:b w:val="0"/>
          <w:i/>
        </w:rPr>
        <w:br/>
      </w:r>
      <w:r>
        <w:rPr>
          <w:b w:val="0"/>
          <w:i/>
        </w:rPr>
        <w:t>Bình Thuận, ngày 04 tháng 6 năm 2007</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THUẬN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THUẬN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1436/QĐ-UBND</w:t>
      </w:r>
      <w:r>
        <w:rPr>
          <w:b w:val="0"/>
          <w:i w:val="0"/>
        </w:rPr>
        <w:br/>
      </w:r>
      <w:r>
        <w:rPr>
          <w:b w:val="0"/>
          <w:i w:val="0"/>
        </w:rPr>
        <w:br/>
      </w:r>
      <w:r>
        <w:rPr>
          <w:b w:val="0"/>
          <w:i/>
        </w:rPr>
        <w:br/>
      </w:r>
      <w:r>
        <w:rPr>
          <w:b w:val="0"/>
          <w:i/>
        </w:rPr>
        <w:t>Bình Thuận, ngày 04 tháng 6 năm 2007</w:t>
      </w:r>
      <w:r>
        <w:rPr>
          <w:b w:val="0"/>
          <w:i/>
        </w:rPr>
        <w:br/>
      </w:r>
      <w:r>
        <w:rPr>
          <w:b w:val="0"/>
          <w:i w:val="0"/>
        </w:rPr>
        <w:br/>
      </w:r>
    </w:p>
    <w:p>
      <w:pPr>
        <w:jc w:val="center"/>
      </w:pPr>
      <w:r>
        <w:rPr>
          <w:b w:val="0"/>
          <w:i w:val="0"/>
        </w:rPr>
        <w:br/>
      </w:r>
      <w:r>
        <w:rPr>
          <w:b w:val="0"/>
          <w:i w:val="0"/>
        </w:rPr>
        <w:t>Số: 1436/QĐ-UBND</w:t>
      </w:r>
      <w:r>
        <w:rPr>
          <w:b w:val="0"/>
          <w:i w:val="0"/>
        </w:rPr>
        <w:br/>
      </w:r>
    </w:p>
    <w:p>
      <w:pPr>
        <w:jc w:val="center"/>
      </w:pPr>
      <w:r>
        <w:rPr>
          <w:b w:val="0"/>
          <w:i w:val="0"/>
        </w:rPr>
        <w:br/>
      </w:r>
      <w:r>
        <w:rPr>
          <w:b w:val="0"/>
          <w:i w:val="0"/>
        </w:rPr>
        <w:t>Bình Thuận, ngày 04 tháng 6 năm 2007</w:t>
      </w:r>
      <w:r>
        <w:rPr>
          <w:b w:val="0"/>
          <w:i w:val="0"/>
        </w:rPr>
        <w:br/>
      </w:r>
    </w:p>
    <w:p>
      <w:pPr>
        <w:jc w:val="center"/>
      </w:pPr>
      <w:r>
        <w:rPr>
          <w:b/>
          <w:i w:val="0"/>
        </w:rPr>
        <w:t>QUYẾT ĐỊNH</w:t>
      </w:r>
    </w:p>
    <w:p>
      <w:pPr>
        <w:jc w:val="center"/>
      </w:pPr>
      <w:r>
        <w:rPr>
          <w:b/>
          <w:i w:val="0"/>
        </w:rPr>
        <w:t xml:space="preserve">Về việc phê duyệt điều chỉnh lại Đề án cải cách thủ tục hành chính </w:t>
      </w:r>
    </w:p>
    <w:p>
      <w:pPr>
        <w:jc w:val="center"/>
      </w:pPr>
      <w:r>
        <w:rPr>
          <w:b/>
          <w:i w:val="0"/>
        </w:rPr>
        <w:t>theo cơ chế “một cửa” của Sở Kế hoạch &amp; Đầu tư Bình Thuận</w:t>
      </w:r>
    </w:p>
    <w:p>
      <w:pPr>
        <w:jc w:val="center"/>
      </w:pPr>
      <w:r>
        <w:rPr>
          <w:b w:val="0"/>
          <w:i w:val="0"/>
        </w:rPr>
        <w:t xml:space="preserve">______________________ </w:t>
      </w:r>
    </w:p>
    <w:p>
      <w:pPr>
        <w:jc w:val="center"/>
      </w:pPr>
      <w:r>
        <w:rPr>
          <w:b/>
          <w:i w:val="0"/>
        </w:rPr>
        <w:t>CHỦ TỊCH ỦY BAN NHÂN DÂN TỈNH BÌNH THUẬN</w:t>
      </w:r>
    </w:p>
    <w:p>
      <w:r>
        <w:rPr>
          <w:b w:val="0"/>
          <w:i/>
        </w:rPr>
        <w:t>Căn cứ Luật tổ chức Hội đồng nhân dân và Ủy ban nhân dân ngày 26 tháng 11 năm 2003;</w:t>
      </w:r>
    </w:p>
    <w:p>
      <w:r>
        <w:rPr>
          <w:b w:val="0"/>
          <w:i/>
        </w:rPr>
        <w:t>Căn cứ Quyết định số 224/2003/QĐ-TTg ngày 04/9/2003 của Thủ tướng Chính phủ V/v ban hành Quy chế thực hiện cơ chế “một cửa” tại cơ quan hành chính nhà nước ở địa phương;</w:t>
      </w:r>
    </w:p>
    <w:p>
      <w:r>
        <w:rPr>
          <w:b w:val="0"/>
          <w:i/>
        </w:rPr>
        <w:t>Theo đề nghị của Giám đốc Sở Kế hoạch &amp; Đầu tư và Giám đốc Sở Nội vụ,</w:t>
      </w:r>
    </w:p>
    <w:p>
      <w:pPr>
        <w:jc w:val="center"/>
      </w:pPr>
      <w:r>
        <w:rPr>
          <w:b/>
          <w:i w:val="0"/>
        </w:rPr>
        <w:t>QUYẾT ĐỊNH:</w:t>
      </w:r>
    </w:p>
    <w:p>
      <w:r>
        <w:rPr>
          <w:b/>
          <w:i w:val="0"/>
        </w:rPr>
        <w:t xml:space="preserve">Điều 1. </w:t>
      </w:r>
      <w:r>
        <w:rPr>
          <w:b w:val="0"/>
          <w:i w:val="0"/>
        </w:rPr>
        <w:t>Nay phê duyệt điều chỉnh lại Đề án cải cách thủ tục hành chính theo cơ chế "một cửa" tại Sở Kế hoạch &amp; Đầu tư tỉnh Bình Thuận, gồm các nội dung chủ yếu sau:</w:t>
      </w:r>
    </w:p>
    <w:p>
      <w:r>
        <w:rPr>
          <w:b/>
          <w:i w:val="0"/>
        </w:rPr>
        <w:t>I. Các lĩnh vực phê duyệt lại được thực hiện theo cơ chế "một cửa" tại Sở Kế hoạch &amp; Đầu tư:</w:t>
      </w:r>
    </w:p>
    <w:p>
      <w:r>
        <w:rPr>
          <w:b/>
          <w:i w:val="0"/>
        </w:rPr>
        <w:t>1. Lĩnh vực thẩm định dự án nguồn vốn ngân sách nhà nước (NSNN), bao gồm:</w:t>
      </w:r>
    </w:p>
    <w:p>
      <w:r>
        <w:rPr>
          <w:b w:val="0"/>
          <w:i w:val="0"/>
        </w:rPr>
        <w:t xml:space="preserve"> - Thẩm định dự án đầu tư, báo cáo kinh tế kỹ thuật; </w:t>
      </w:r>
    </w:p>
    <w:p>
      <w:r>
        <w:rPr>
          <w:b w:val="0"/>
          <w:i w:val="0"/>
        </w:rPr>
        <w:t>- Điều chỉnh dự án đầu tư, báo cáo kinh tế kỹ thuật;</w:t>
      </w:r>
    </w:p>
    <w:p>
      <w:r>
        <w:rPr>
          <w:b w:val="0"/>
          <w:i w:val="0"/>
        </w:rPr>
        <w:t xml:space="preserve">- Thẩm định kế hoạch đấu thầu; </w:t>
      </w:r>
    </w:p>
    <w:p>
      <w:r>
        <w:rPr>
          <w:b w:val="0"/>
          <w:i w:val="0"/>
        </w:rPr>
        <w:t xml:space="preserve">- Thẩm định hồ sơ mời thầu; </w:t>
      </w:r>
    </w:p>
    <w:p>
      <w:r>
        <w:rPr>
          <w:b w:val="0"/>
          <w:i w:val="0"/>
        </w:rPr>
        <w:t>- Thẩm định kết quả đấu thầu;</w:t>
      </w:r>
    </w:p>
    <w:p>
      <w:r>
        <w:rPr>
          <w:b w:val="0"/>
          <w:i w:val="0"/>
        </w:rPr>
        <w:t xml:space="preserve"> - Thẩm định chỉ định thầu.</w:t>
      </w:r>
    </w:p>
    <w:p>
      <w:r>
        <w:rPr>
          <w:b/>
          <w:i w:val="0"/>
        </w:rPr>
        <w:t>2. Lĩnh vực đăng ký đầu tư, bao gồm:</w:t>
      </w:r>
    </w:p>
    <w:p>
      <w:r>
        <w:rPr>
          <w:b w:val="0"/>
          <w:i w:val="0"/>
        </w:rPr>
        <w:t xml:space="preserve">- Cấp Giấy chứng nhận đầu tư (cấp mới và cấp thay đổi); </w:t>
      </w:r>
    </w:p>
    <w:p>
      <w:r>
        <w:rPr>
          <w:b w:val="0"/>
          <w:i w:val="0"/>
        </w:rPr>
        <w:t>- Đăng ký lại doanh nghiệp và dự án đầu tư; chuyển đổi loại hình doanh nghiệp (đối với các dự án có vốn đầu tư nước ngoài được cấp Giấy phép đầu tư trước ngày 01/7/2006).</w:t>
      </w:r>
    </w:p>
    <w:p>
      <w:r>
        <w:rPr>
          <w:b/>
          <w:i w:val="0"/>
        </w:rPr>
        <w:t>3. Lĩnh vực đăng ký kinh doanh, bao gồm:</w:t>
      </w:r>
    </w:p>
    <w:p>
      <w:r>
        <w:rPr>
          <w:b w:val="0"/>
          <w:i w:val="0"/>
        </w:rPr>
        <w:t>- Cấp Giấy chứng nhận đăng ký kinh doanh; cấp Giấy đăng ký hoạt động chi nhánh, văn phòng đại diện (cấp mới và cấp thay đổi);</w:t>
      </w:r>
    </w:p>
    <w:p>
      <w:r>
        <w:rPr>
          <w:b w:val="0"/>
          <w:i w:val="0"/>
        </w:rPr>
        <w:t>- Thu hồi Giấy chứng nhận đăng ký kinh doanh; thu hồi Giấy đăng ký hoạt động chi nhánh, văn phòng đại diện.</w:t>
      </w:r>
    </w:p>
    <w:p>
      <w:r>
        <w:rPr>
          <w:b/>
          <w:i w:val="0"/>
        </w:rPr>
        <w:t>II. Quy định về quy trình tiếp nhận và hoàn trả hồ sơ:</w:t>
      </w:r>
    </w:p>
    <w:p>
      <w:r>
        <w:rPr>
          <w:b w:val="0"/>
          <w:i w:val="0"/>
        </w:rPr>
        <w:t>1. Khi có nhu cầu giải quyết hồ sơ hành chính liên quan các lĩnh vực nói trên. Tổ chức, công dân nộp hồ sơ tại Bộ phận tiếp nhận và trả kết quả Sở Kế hoạch &amp; Đầu tư.</w:t>
      </w:r>
    </w:p>
    <w:p>
      <w:r>
        <w:rPr>
          <w:b w:val="0"/>
          <w:i w:val="0"/>
        </w:rPr>
        <w:t>2. Bộ phận tiếp nhận và trả kết quả Sở Kế hoạch &amp; Đầu tư tiếp nhận hồ sơ, xử lý ban đầu về thủ tục; viết phiếu hẹn trả hồ sơ; phân chuyển hồ sơ "một cửa" cho các phòng chuyên môn xử lý.</w:t>
      </w:r>
    </w:p>
    <w:p>
      <w:r>
        <w:rPr>
          <w:b w:val="0"/>
          <w:i w:val="0"/>
        </w:rPr>
        <w:t>3. Phòng Chuyên môn thực hiện xử lý, thẩm định và trình lãnh đạo Sở ký duyệt hồ sơ theo đúng quy định hiện hành, đúng hẹn.</w:t>
      </w:r>
    </w:p>
    <w:p>
      <w:r>
        <w:rPr>
          <w:b w:val="0"/>
          <w:i w:val="0"/>
        </w:rPr>
        <w:t>4. Phòng Chuyên môn ký trả hồ sơ đã xử lý cho Bộ phận tiếp nhận và trả kết quả.</w:t>
      </w:r>
    </w:p>
    <w:p>
      <w:r>
        <w:rPr>
          <w:b w:val="0"/>
          <w:i w:val="0"/>
        </w:rPr>
        <w:t>5. Bộ phận tiếp nhận và trả kết quả hoàn trả hồ sơ cho các tổ chức, công dân theo phiếu hẹn.</w:t>
      </w:r>
    </w:p>
    <w:p>
      <w:r>
        <w:rPr>
          <w:b/>
          <w:i w:val="0"/>
        </w:rPr>
        <w:t>III. Hồ sơ, thủ tục hành chính và thời gian thực hiện các nội dung công việc theo cơ chế "một cửa" tại Sở Kế hoạch &amp; Đầu tư:</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 </w:t>
            </w:r>
          </w:p>
        </w:tc>
        <w:tc>
          <w:tcPr>
            <w:tcW w:type="dxa" w:w="2880"/>
          </w:tcPr>
          <w:p>
            <w:r>
              <w:rPr>
                <w:b w:val="0"/>
                <w:i w:val="0"/>
              </w:rPr>
              <w:br/>
            </w:r>
            <w:r>
              <w:rPr>
                <w:b/>
                <w:i w:val="0"/>
              </w:rPr>
              <w:t>NỘI DUNG CÔNG VIỆC</w:t>
            </w:r>
          </w:p>
        </w:tc>
        <w:tc>
          <w:tcPr>
            <w:tcW w:type="dxa" w:w="2880"/>
          </w:tcPr>
          <w:p>
            <w:r>
              <w:rPr>
                <w:b w:val="0"/>
                <w:i w:val="0"/>
              </w:rPr>
              <w:br/>
            </w:r>
            <w:r>
              <w:rPr>
                <w:b/>
                <w:i w:val="0"/>
              </w:rPr>
              <w:t>Thời gian tiếp nhận, xử lý và giải quyết  công việc (tính theo ngày làm việc)</w:t>
            </w:r>
          </w:p>
        </w:tc>
      </w:tr>
    </w:tbl>
    <w:p>
      <w:pPr>
        <w:jc w:val="both"/>
      </w:pPr>
      <w:r>
        <w:rPr>
          <w:b/>
          <w:i w:val="0"/>
        </w:rPr>
        <w:t>Điều 2</w:t>
      </w:r>
      <w:r>
        <w:rPr>
          <w:b/>
          <w:i w:val="0"/>
        </w:rPr>
        <w:t xml:space="preserve">. </w:t>
      </w:r>
      <w:r>
        <w:rPr>
          <w:b w:val="0"/>
          <w:i w:val="0"/>
        </w:rPr>
        <w:t>Giao Giám đốc Sở Kế hoạch &amp; Đầu tư Bình Thuận hướng dẫn, chỉ đạo, kiểm tra trong việc tổ chức thi hành Quyết định này. Trong quá trình thực hiện nếu có phát sinh vướng mắc về trình tự, thủ tục kịp thời báo cáo, đề xuất UBND tỉnh xem xét, sửa đổi, bổ sung.</w:t>
      </w:r>
    </w:p>
    <w:p>
      <w:r>
        <w:rPr>
          <w:b/>
          <w:i w:val="0"/>
        </w:rPr>
        <w:t xml:space="preserve">Điều 3. </w:t>
      </w:r>
      <w:r>
        <w:rPr>
          <w:b w:val="0"/>
          <w:i w:val="0"/>
        </w:rPr>
        <w:t>Quyết định này có hiệu lực thi hành kể từ ngày ký ban hành và thay thế Quyết định số: 1008/QĐ-CTUBBT ngày 15/03/2004 và Quyết định số: 3125/QĐ-UBND ngày 08/12/2006 của Chủ tịch UBND tỉnh về việc phê duyệt Đề án cải cách thủ tục hành chính theo cơ chế “một cửa” của Sở Kế hoạch &amp; Đầu tư Bình Thuận.</w:t>
      </w:r>
    </w:p>
    <w:p>
      <w:pPr>
        <w:jc w:val="both"/>
      </w:pPr>
      <w:r>
        <w:rPr>
          <w:b/>
          <w:i w:val="0"/>
        </w:rPr>
        <w:t>Điều 4.</w:t>
      </w:r>
      <w:r>
        <w:rPr>
          <w:b/>
          <w:i w:val="0"/>
        </w:rPr>
        <w:t xml:space="preserve"> </w:t>
      </w:r>
      <w:r>
        <w:rPr>
          <w:b w:val="0"/>
          <w:i w:val="0"/>
        </w:rPr>
        <w:t>Chánh Văn phòng UBND tỉnh, Giám đốc Sở Nội vụ, Giám đốc Sở Kế hoạch &amp; Đầu tư, Thủ trưởng các cơ quan chuyên môn thuộc UBND tỉnh; các tổ chức, cá nhân có liên quan chịu trách nhiệm thi hành Quyết định này./.</w:t>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Huỳnh Tấn Thành</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Huỳnh Tấn Thành</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Huỳnh Tấn Thành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