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149/2002/QĐ-UB Quy định một số chỉ tiêu chủ yếu về quản lý quy hoạch và xây dựng đối với nhà ở tư nhân tại khu vực đường Trần Phú - Đà Lạt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 xml:space="preserve">TỈNH </w:t>
            </w:r>
            <w:r>
              <w:rPr>
                <w:b/>
                <w:i w:val="0"/>
              </w:rPr>
              <w:t>LÂM ĐỒNG</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QUYẾT ĐỊNH CỦA UBND TỈNH LÂM ĐỒNG</w:t>
      </w:r>
    </w:p>
    <w:p>
      <w:r>
        <w:rPr>
          <w:b/>
          <w:i/>
        </w:rPr>
        <w:t>Về việc quy định một số chỉ tiêu chủ yếu về quản lý quy hoạch và xây dựng</w:t>
      </w:r>
    </w:p>
    <w:p>
      <w:r>
        <w:rPr>
          <w:b/>
          <w:i/>
        </w:rPr>
        <w:t>đối với nhà ở tư nhân tại khu vực đường Trần Phú - Đà Lạt</w:t>
      </w:r>
    </w:p>
    <w:p>
      <w:r>
        <w:rPr>
          <w:b/>
          <w:i w:val="0"/>
        </w:rPr>
        <w:t xml:space="preserve"> _____________</w:t>
      </w:r>
    </w:p>
    <w:p>
      <w:r>
        <w:rPr>
          <w:b/>
          <w:i w:val="0"/>
        </w:rPr>
        <w:t>ỦY BAN NHÂN DÂN TỈNH LÂM ĐỒNG</w:t>
      </w:r>
    </w:p>
    <w:p>
      <w:pPr>
        <w:jc w:val="both"/>
      </w:pPr>
      <w:r>
        <w:rPr>
          <w:b w:val="0"/>
          <w:i/>
        </w:rPr>
        <w:t>Căn cứ Luật Tổ chức Hội đồng Nhân dân và Ủy ban Nhân dân (sửa đổi) ngày 21/6/1994;</w:t>
      </w:r>
    </w:p>
    <w:p>
      <w:pPr>
        <w:jc w:val="both"/>
      </w:pPr>
      <w:r>
        <w:rPr>
          <w:b w:val="0"/>
          <w:i/>
        </w:rPr>
        <w:t>Căn cứ Quyết định số 409/QĐ-TTg ngày 27/5/2002 của Thủ tướng Chính phủ phê duyệt Điều chỉnh Quy hoạch chung thành phố Đà Lạt, tỉnh Lâm Đồng và vùng phụ cận đến năm 2020;</w:t>
      </w:r>
    </w:p>
    <w:p>
      <w:pPr>
        <w:jc w:val="both"/>
      </w:pPr>
      <w:r>
        <w:rPr>
          <w:b w:val="0"/>
          <w:i/>
        </w:rPr>
        <w:t>Căn cứ Quyết định số 682/BXD-CSXD ngày 14/12/1996 của Bộ trưởng Bộ Xây dựng về việc ban hành Quy chuẩn Xây dựng Việt Nam;</w:t>
      </w:r>
    </w:p>
    <w:p>
      <w:pPr>
        <w:jc w:val="both"/>
      </w:pPr>
      <w:r>
        <w:rPr>
          <w:b w:val="0"/>
          <w:i/>
        </w:rPr>
        <w:t>Tiếp theo Quyết định số 30/1999/QĐ-UB ngày 20/3/1999 của Ủy ban Nhân dân tỉnh Lâm Đồng về việc Quy định các chỉ tiêu chủ yếu về quản lý quy hoạch và xây dựng đối với nhà ở tư nhân trên địa bàn thành phố Đà Lạt;</w:t>
      </w:r>
    </w:p>
    <w:p>
      <w:pPr>
        <w:jc w:val="both"/>
      </w:pPr>
      <w:r>
        <w:rPr>
          <w:b w:val="0"/>
          <w:i/>
        </w:rPr>
        <w:t>Xét đề nghị của Giám đốc Sở Xây dựng tại tờ trình số 1046/XD-QHXD ngày 31/10/2002 về việc ban hành một số chỉ tiêu quản lý quy hoạch - kiến trúc khu vực đường Trần Phú (đoạn từ khách sạn Giao thông đến đường hẻm vào Công ty APEX) - phường 3 - thành phố Đà Lạt,</w:t>
      </w:r>
    </w:p>
    <w:p>
      <w:pPr>
        <w:jc w:val="both"/>
      </w:pPr>
      <w:r>
        <w:rPr>
          <w:b/>
          <w:i w:val="0"/>
        </w:rPr>
        <w:t>Điều 1.</w:t>
      </w:r>
    </w:p>
    <w:p>
      <w:pPr>
        <w:jc w:val="both"/>
      </w:pPr>
      <w:r>
        <w:rPr>
          <w:b w:val="0"/>
          <w:i w:val="0"/>
        </w:rPr>
        <w:t>1. Nay quy định một số chỉ tiêu chủ yếu về quản lý quy hoạch và xây dựng đối với nhà ở tư nhân tại khu vực đường Trần Phú - phường 3 - thành phố Đà Lạt - tỉnh Lâm Đồng. Cụ thể như sau:</w:t>
      </w:r>
    </w:p>
    <w:p>
      <w:pPr>
        <w:jc w:val="both"/>
      </w:pPr>
      <w:r>
        <w:rPr>
          <w:b w:val="0"/>
          <w:i w:val="0"/>
        </w:rPr>
        <w:t>a/ Phạm vi áp dụng: Nhà ở tư nhân khu vực đường Trần Phú đoạn từ khách sạn Giao thông đến đường hẻm vào Công ty APEX. Giới cận:</w:t>
      </w:r>
    </w:p>
    <w:p>
      <w:pPr>
        <w:jc w:val="both"/>
      </w:pPr>
      <w:r>
        <w:rPr>
          <w:b w:val="0"/>
          <w:i w:val="0"/>
        </w:rPr>
        <w:t>Đông giáp: Khách sạn Giao thông;</w:t>
      </w:r>
    </w:p>
    <w:p>
      <w:pPr>
        <w:jc w:val="both"/>
      </w:pPr>
      <w:r>
        <w:rPr>
          <w:b w:val="0"/>
          <w:i w:val="0"/>
        </w:rPr>
        <w:t>Nam giáp: Đường Trần Phú;</w:t>
      </w:r>
    </w:p>
    <w:p>
      <w:pPr>
        <w:jc w:val="both"/>
      </w:pPr>
      <w:r>
        <w:rPr>
          <w:b w:val="0"/>
          <w:i w:val="0"/>
        </w:rPr>
        <w:t>Tây giáp: Đường hẻm vào Công ty APEX;</w:t>
      </w:r>
    </w:p>
    <w:p>
      <w:pPr>
        <w:jc w:val="both"/>
      </w:pPr>
      <w:r>
        <w:rPr>
          <w:b w:val="0"/>
          <w:i w:val="0"/>
        </w:rPr>
        <w:t>Bắc giáp: Khu quy hoạch dân cư đường Bà Triệu.</w:t>
      </w:r>
    </w:p>
    <w:p>
      <w:pPr>
        <w:jc w:val="both"/>
      </w:pPr>
      <w:r>
        <w:rPr>
          <w:b w:val="0"/>
          <w:i w:val="0"/>
        </w:rPr>
        <w:t>b/ Một số chỉ tiêu quản lý:</w:t>
      </w:r>
    </w:p>
    <w:p>
      <w:pPr>
        <w:jc w:val="both"/>
      </w:pPr>
      <w:r>
        <w:rPr>
          <w:b w:val="0"/>
          <w:i w:val="0"/>
        </w:rPr>
        <w:t>Dạng kiến trúc: Nhà biệt lập. Trường hợp bề rộng lô (thửa) đất không đảm bảo theo chỉ tiêu dưới đây thì cho phép hai hộ liền kề tự thỏa thuận với nhau để xây dựng ghép khối thành nhà song lập.</w:t>
      </w:r>
    </w:p>
    <w:p>
      <w:pPr>
        <w:jc w:val="both"/>
      </w:pPr>
      <w:r>
        <w:rPr>
          <w:b w:val="0"/>
          <w:i w:val="0"/>
        </w:rPr>
        <w:t>Bề rộng của lô đất (hoặc 02 lô đất đối với nhà song lập):</w:t>
      </w:r>
    </w:p>
    <w:p>
      <w:pPr>
        <w:jc w:val="both"/>
      </w:pPr>
      <w:r>
        <w:rPr>
          <w:b w:val="0"/>
          <w:i w:val="0"/>
        </w:rPr>
        <w:t>Đối với nhà biệt lập: ³ 14m;</w:t>
      </w:r>
    </w:p>
    <w:p>
      <w:pPr>
        <w:jc w:val="both"/>
      </w:pPr>
      <w:r>
        <w:rPr>
          <w:b w:val="0"/>
          <w:i w:val="0"/>
        </w:rPr>
        <w:t>Đối với nhà song lập: ³ 16m.</w:t>
      </w:r>
    </w:p>
    <w:p>
      <w:pPr>
        <w:jc w:val="both"/>
      </w:pPr>
      <w:r>
        <w:rPr>
          <w:b w:val="0"/>
          <w:i w:val="0"/>
        </w:rPr>
        <w:t>Mật độ xây dựng công trình: Ê 50%.</w:t>
      </w:r>
    </w:p>
    <w:p>
      <w:pPr>
        <w:jc w:val="both"/>
      </w:pPr>
      <w:r>
        <w:rPr>
          <w:b w:val="0"/>
          <w:i w:val="0"/>
        </w:rPr>
        <w:t>Số tầng: Ê 02 tầng (01 trệt + 01 lầu) tính từ mặt lề đường Trần Phú giáp với nhà.</w:t>
      </w:r>
    </w:p>
    <w:p>
      <w:pPr>
        <w:jc w:val="both"/>
      </w:pPr>
      <w:r>
        <w:rPr>
          <w:b w:val="0"/>
          <w:i w:val="0"/>
        </w:rPr>
        <w:t>Chỉ giới xây dựng so với lộ giới đường Trần Phú (khoảng lùi): ³ 4,5m.</w:t>
      </w:r>
    </w:p>
    <w:p>
      <w:pPr>
        <w:jc w:val="both"/>
      </w:pPr>
      <w:r>
        <w:rPr>
          <w:b w:val="0"/>
          <w:i w:val="0"/>
        </w:rPr>
        <w:t>Khoảng cách từ mép công trình đến ranh đất: ³ 02m.</w:t>
      </w:r>
    </w:p>
    <w:p>
      <w:pPr>
        <w:jc w:val="both"/>
      </w:pPr>
      <w:r>
        <w:rPr>
          <w:b w:val="0"/>
          <w:i w:val="0"/>
        </w:rPr>
        <w:t>Riêng lô (thửa) đất số 109, đã có quyết định giao đất nhưng bề rộng lô đất không đủ để xây dựng nhà biệt lập và hiện nay phương án tăng kích thước bề rộng lô đất là không khả thi. Vì vậy, thống nhất phương án giữ nguyên ranh giới và kích thước lô đất. Trên lô đất này chỉ được phép xây dựng nhà với điều kiện phải thỏa thuận với chủ sở hữu ngôi nhà thuộc lô (thửa) đất số 110 để được hợp khối (với ngôi nhà thuộc thửa đất số 110) thành một khối nhà song lập hoàn chỉnh.</w:t>
      </w:r>
    </w:p>
    <w:p>
      <w:pPr>
        <w:jc w:val="both"/>
      </w:pPr>
      <w:r>
        <w:rPr>
          <w:b w:val="0"/>
          <w:i w:val="0"/>
        </w:rPr>
        <w:t>Mái của tất cả các công trình trong khu vực phải lợp ngói.</w:t>
      </w:r>
    </w:p>
    <w:p>
      <w:pPr>
        <w:jc w:val="both"/>
      </w:pPr>
      <w:r>
        <w:rPr>
          <w:b w:val="0"/>
          <w:i w:val="0"/>
        </w:rPr>
        <w:t>Ngoài một số chỉ tiêu nêu trên, công trình phải đảm bảo phù hợp với cảnh quan của khu vực.</w:t>
      </w:r>
    </w:p>
    <w:p>
      <w:pPr>
        <w:jc w:val="both"/>
      </w:pPr>
      <w:r>
        <w:rPr>
          <w:b w:val="0"/>
          <w:i w:val="0"/>
        </w:rPr>
        <w:t>2. Các chỉ tiêu chủ yếu nêu trên là cơ sở cho các cơ quan chức năng của tỉnh và thành phố Đà Lạt thực hiện quản lý quy hoạch và xây dựng nhà ở tư nhân trên địa bàn thành phố Đà Lạt.</w:t>
      </w:r>
    </w:p>
    <w:p>
      <w:pPr>
        <w:jc w:val="both"/>
      </w:pPr>
      <w:r>
        <w:rPr>
          <w:b/>
          <w:i w:val="0"/>
        </w:rPr>
        <w:t>Điều 2.</w:t>
      </w:r>
    </w:p>
    <w:p>
      <w:pPr>
        <w:jc w:val="both"/>
      </w:pPr>
      <w:r>
        <w:rPr>
          <w:b w:val="0"/>
          <w:i w:val="0"/>
        </w:rPr>
        <w:t>1. Giao Ủy ban Nhân dân thành phố Đà Lạt tổ chức phổ biến công khai quy định này cho nhân dân biết, thực hiện.</w:t>
      </w:r>
    </w:p>
    <w:p>
      <w:pPr>
        <w:jc w:val="both"/>
      </w:pPr>
      <w:r>
        <w:rPr>
          <w:b w:val="0"/>
          <w:i w:val="0"/>
        </w:rPr>
        <w:t>2. Giao Sở Xây dựng, Sở Địa chính và các ngành chức năng có liên quan chịu trách nhiệm phối hợp với Ủy ban Nhân dân thành phố Đà Lạt tổ chức thực hiện việc quản lý quy hoạch và xây dựng nhà ở tư nhân theo đúng quy định này.</w:t>
      </w:r>
    </w:p>
    <w:p>
      <w:pPr>
        <w:jc w:val="both"/>
      </w:pPr>
      <w:r>
        <w:rPr>
          <w:b w:val="0"/>
          <w:i w:val="0"/>
        </w:rPr>
        <w:t>3. Trong quá trình thực hiện, có gì vướng mắc yêu cầu báo cáo Ủy ban Nhân dân tỉnh Lâm Đồng để xem xét giải quyết.</w:t>
      </w:r>
    </w:p>
    <w:p>
      <w:pPr>
        <w:jc w:val="both"/>
      </w:pPr>
      <w:r>
        <w:rPr>
          <w:b/>
          <w:i w:val="0"/>
        </w:rPr>
        <w:t>Điều 3</w:t>
      </w:r>
      <w:r>
        <w:rPr>
          <w:b/>
          <w:i w:val="0"/>
        </w:rPr>
        <w:t xml:space="preserve">. </w:t>
      </w:r>
      <w:r>
        <w:rPr>
          <w:b w:val="0"/>
          <w:i w:val="0"/>
        </w:rPr>
        <w:t>Chánh Văn phòng Hội đồng Nhân dân và Ủy ban Nhân dân tỉnh, Giám đốc các Sở: Xây dựng; Địa chính; Giao thông vận tải, Chủ tịch Ủy ban Nhân dân thành phố Đà Lạt, Thủ trưởng các ngành, đơn vị và cá nhân có liên quan có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UỶ BAN NHÂN DÂN</w:t>
            </w:r>
            <w:r>
              <w:rPr>
                <w:b w:val="0"/>
                <w:i w:val="0"/>
              </w:rPr>
              <w:br/>
            </w:r>
            <w:r>
              <w:rPr>
                <w:b/>
                <w:i w:val="0"/>
              </w:rPr>
              <w:t>ĐANG CẬP NHẬT</w:t>
            </w:r>
            <w:r>
              <w:rPr>
                <w:b w:val="0"/>
                <w:i w:val="0"/>
              </w:rPr>
              <w:br/>
            </w:r>
            <w:r>
              <w:rPr>
                <w:b/>
                <w:i w:val="0"/>
              </w:rPr>
              <w:t>(Đã ký)</w:t>
            </w:r>
            <w:r>
              <w:rPr>
                <w:b w:val="0"/>
                <w:i w:val="0"/>
              </w:rPr>
              <w:br/>
            </w:r>
            <w:r>
              <w:rPr>
                <w:b w:val="0"/>
                <w:i w:val="0"/>
              </w:rPr>
              <w:br/>
            </w:r>
            <w:r>
              <w:rPr>
                <w:b/>
                <w:i w:val="0"/>
              </w:rPr>
              <w:t>Phan Thiên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