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149/2016/TT-BTC Về Quy chuấn kỹ thuật quốc gia đối với thuốc thú y dự trữ quốc gia</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149/2016/TT-BTC</w:t>
      </w:r>
      <w:r>
        <w:rPr>
          <w:b w:val="0"/>
          <w:i w:val="0"/>
        </w:rPr>
        <w:br/>
      </w:r>
      <w:r>
        <w:rPr>
          <w:b w:val="0"/>
          <w:i w:val="0"/>
        </w:rPr>
        <w:br/>
      </w:r>
      <w:r>
        <w:rPr>
          <w:b w:val="0"/>
          <w:i/>
        </w:rPr>
        <w:br/>
      </w:r>
      <w:r>
        <w:rPr>
          <w:b w:val="0"/>
          <w:i/>
        </w:rPr>
        <w:t>Hà Nội, ngày 14 tháng 10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149/2016/TT-BTC</w:t>
      </w:r>
      <w:r>
        <w:rPr>
          <w:b w:val="0"/>
          <w:i w:val="0"/>
        </w:rPr>
        <w:br/>
      </w:r>
      <w:r>
        <w:rPr>
          <w:b w:val="0"/>
          <w:i w:val="0"/>
        </w:rPr>
        <w:br/>
      </w:r>
      <w:r>
        <w:rPr>
          <w:b w:val="0"/>
          <w:i/>
        </w:rPr>
        <w:br/>
      </w:r>
      <w:r>
        <w:rPr>
          <w:b w:val="0"/>
          <w:i/>
        </w:rPr>
        <w:t>Hà Nội, ngày 14 tháng 10 năm 2016</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149/2016/TT-BTC</w:t>
      </w:r>
      <w:r>
        <w:rPr>
          <w:b w:val="0"/>
          <w:i w:val="0"/>
        </w:rPr>
        <w:br/>
      </w:r>
      <w:r>
        <w:rPr>
          <w:b w:val="0"/>
          <w:i w:val="0"/>
        </w:rPr>
        <w:br/>
      </w:r>
      <w:r>
        <w:rPr>
          <w:b w:val="0"/>
          <w:i/>
        </w:rPr>
        <w:br/>
      </w:r>
      <w:r>
        <w:rPr>
          <w:b w:val="0"/>
          <w:i/>
        </w:rPr>
        <w:t>Hà Nội, ngày 14 tháng 10 năm 2016</w:t>
      </w:r>
      <w:r>
        <w:rPr>
          <w:b w:val="0"/>
          <w:i/>
        </w:rPr>
        <w:br/>
      </w:r>
      <w:r>
        <w:rPr>
          <w:b w:val="0"/>
          <w:i w:val="0"/>
        </w:rPr>
        <w:br/>
      </w:r>
    </w:p>
    <w:p>
      <w:pPr>
        <w:jc w:val="center"/>
      </w:pPr>
      <w:r>
        <w:rPr>
          <w:b w:val="0"/>
          <w:i w:val="0"/>
        </w:rPr>
        <w:br/>
      </w:r>
      <w:r>
        <w:rPr>
          <w:b w:val="0"/>
          <w:i w:val="0"/>
        </w:rPr>
        <w:t>Số: 149/2016/TT-BTC</w:t>
      </w:r>
      <w:r>
        <w:rPr>
          <w:b w:val="0"/>
          <w:i w:val="0"/>
        </w:rPr>
        <w:br/>
      </w:r>
    </w:p>
    <w:p>
      <w:pPr>
        <w:jc w:val="center"/>
      </w:pPr>
      <w:r>
        <w:rPr>
          <w:b w:val="0"/>
          <w:i w:val="0"/>
        </w:rPr>
        <w:br/>
      </w:r>
      <w:r>
        <w:rPr>
          <w:b w:val="0"/>
          <w:i w:val="0"/>
        </w:rPr>
        <w:t>Hà Nội, ngày 14 tháng 10 năm 2016</w:t>
      </w:r>
      <w:r>
        <w:rPr>
          <w:b w:val="0"/>
          <w:i w:val="0"/>
        </w:rPr>
        <w:br/>
      </w:r>
    </w:p>
    <w:p>
      <w:pPr>
        <w:jc w:val="center"/>
      </w:pPr>
      <w:r>
        <w:rPr>
          <w:b/>
          <w:i w:val="0"/>
        </w:rPr>
        <w:t>THÔNG TƯ</w:t>
      </w:r>
    </w:p>
    <w:p>
      <w:pPr>
        <w:jc w:val="center"/>
      </w:pPr>
      <w:r>
        <w:rPr>
          <w:b/>
          <w:i w:val="0"/>
        </w:rPr>
        <w:t xml:space="preserve">Về Quy chuẩn kỹ thuật quốc gia </w:t>
      </w:r>
      <w:r>
        <w:rPr>
          <w:b/>
          <w:i w:val="0"/>
        </w:rPr>
        <w:t>đối với thuốc thú y dự trữ quốc gia</w:t>
      </w:r>
    </w:p>
    <w:p>
      <w:pPr>
        <w:jc w:val="center"/>
      </w:pPr>
      <w:r>
        <w:rPr>
          <w:b/>
          <w:i w:val="0"/>
        </w:rPr>
        <w:t>_______________</w:t>
      </w:r>
    </w:p>
    <w:p>
      <w:r>
        <w:rPr>
          <w:b w:val="0"/>
          <w:i/>
        </w:rPr>
        <w:t>Căn cứ Luật Tiêu chuẩn và Quy chuẩn kỹ thuật số 68/2006/QH11 ngày 29 tháng 6 năm 2006;</w:t>
      </w:r>
    </w:p>
    <w:p>
      <w:r>
        <w:rPr>
          <w:b w:val="0"/>
          <w:i/>
        </w:rPr>
        <w:t>Căn cứ Luật dự trữ quốc gia số 22/2012/QH13 ngày 20 tháng 11 năm 2012;</w:t>
      </w:r>
    </w:p>
    <w:p>
      <w:r>
        <w:rPr>
          <w:b w:val="0"/>
          <w:i/>
        </w:rPr>
        <w:t>Căn cứ Nghị định số 94/2013/NĐ-CP ngày 21 tháng 8 năm 2013 của Chính phủ quy định chi tiết thi hành Luật dự trữ quốc gia;</w:t>
      </w:r>
    </w:p>
    <w:p>
      <w:r>
        <w:rPr>
          <w:b w:val="0"/>
          <w:i/>
        </w:rPr>
        <w:t>Căn cứ Nghị định số 127/2007/NĐ-CP ngày 01 tháng 8 năm 2007 của Chính phủ quy định chi tiết thi hành một số điều của Luật Tiêu chuẩn và Quy chuẩn kỹ thuật;</w:t>
      </w:r>
    </w:p>
    <w:p>
      <w:r>
        <w:rPr>
          <w:b w:val="0"/>
          <w:i/>
        </w:rPr>
        <w:t>Căn cứ Nghị định số 215/2013/NĐ-CP ngày 23 tháng 12 năm 2013 của Chính phủ quy định chức năng, nhiệm vụ, quyền hạn và cơ cấu tổ chức của Bộ Tài chính;</w:t>
      </w:r>
    </w:p>
    <w:p>
      <w:r>
        <w:rPr>
          <w:b w:val="0"/>
          <w:i/>
        </w:rPr>
        <w:t>Theo đề nghị của Bộ Nông nghiệp và Phát triển Nông thôn tại công văn số 8406/BNN-TY ngày 13/10/2015 về việc ban hành Quy chuẩn kỹ thuật quốc gia đối với thuốc thú y dự trữ quốc gia;</w:t>
      </w:r>
    </w:p>
    <w:p>
      <w:r>
        <w:rPr>
          <w:b w:val="0"/>
          <w:i/>
        </w:rPr>
        <w:t>Theo đề nghị của Tổng cục trưởng Tổng cục Dự trữ Nhà nước,</w:t>
      </w:r>
    </w:p>
    <w:p>
      <w:r>
        <w:rPr>
          <w:b w:val="0"/>
          <w:i/>
        </w:rPr>
        <w:t>Bộ trưởng Bộ Tài chính ban hành Thông tư về Quy chuẩn kỹ thuật quốc gia đối với thuốc thú y dự trữ quốc gia.</w:t>
      </w:r>
    </w:p>
    <w:p>
      <w:r>
        <w:rPr>
          <w:b/>
          <w:i w:val="0"/>
        </w:rPr>
        <w:t xml:space="preserve">Điều 1. </w:t>
      </w:r>
      <w:r>
        <w:rPr>
          <w:b w:val="0"/>
          <w:i w:val="0"/>
        </w:rPr>
        <w:t>Ban hành kèm theo Thông tư này Quy chuẩn kỹ thuật quốc gia đối với thuốc thú y dự trữ quốc gia.</w:t>
      </w:r>
    </w:p>
    <w:p>
      <w:r>
        <w:rPr>
          <w:b/>
          <w:i w:val="0"/>
        </w:rPr>
        <w:t xml:space="preserve">Điều 2. </w:t>
      </w:r>
      <w:r>
        <w:rPr>
          <w:b w:val="0"/>
          <w:i w:val="0"/>
        </w:rPr>
        <w:t>Thông tư này có hiệu lực thi hành kể từ ngày 20 tháng 4 năm 2017.</w:t>
      </w:r>
    </w:p>
    <w:p>
      <w:r>
        <w:rPr>
          <w:b/>
          <w:i w:val="0"/>
        </w:rPr>
        <w:t xml:space="preserve">Điều 3. </w:t>
      </w:r>
      <w:r>
        <w:rPr>
          <w:b w:val="0"/>
          <w:i w:val="0"/>
        </w:rPr>
        <w:t>Các cơ quan, tổ chức và cá nhân có liên quan đến việc quản lý, nhập, xuất và bảo quản thuốc thú y dự trữ quốc gia có trách nhiệm tổ chức thực hiện Thông tư này.</w:t>
      </w:r>
    </w:p>
    <w:p>
      <w:r>
        <w:rPr>
          <w:b w:val="0"/>
          <w:i w:val="0"/>
        </w:rPr>
        <w:t>Trong quá trình thực hiện, nếu có vấn đề vướng mắc, các cơ quan, tổ chức, cá nhân kịp thời phản ánh về Bộ Tài chính để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TW Đảng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Các cơ quan Trung ương của các đoàn thể;</w:t>
            </w:r>
            <w:r>
              <w:rPr>
                <w:b w:val="0"/>
                <w:i w:val="0"/>
              </w:rPr>
              <w:br/>
            </w:r>
            <w:r>
              <w:rPr>
                <w:b w:val="0"/>
                <w:i w:val="0"/>
              </w:rPr>
              <w:t>- Các đơn vị thuộc Bộ Tài chính;</w:t>
            </w:r>
            <w:r>
              <w:rPr>
                <w:b w:val="0"/>
                <w:i w:val="0"/>
              </w:rPr>
              <w:br/>
            </w:r>
            <w:r>
              <w:rPr>
                <w:b w:val="0"/>
                <w:i w:val="0"/>
              </w:rPr>
              <w:t>- Cục Kiểm tra văn bản - Bộ Tư pháp;</w:t>
            </w:r>
            <w:r>
              <w:rPr>
                <w:b w:val="0"/>
                <w:i w:val="0"/>
              </w:rPr>
              <w:br/>
            </w:r>
            <w:r>
              <w:rPr>
                <w:b w:val="0"/>
                <w:i w:val="0"/>
              </w:rPr>
              <w:t>- Công báo; Website Chính phủ;</w:t>
            </w:r>
            <w:r>
              <w:rPr>
                <w:b w:val="0"/>
                <w:i w:val="0"/>
              </w:rPr>
              <w:br/>
            </w:r>
            <w:r>
              <w:rPr>
                <w:b w:val="0"/>
                <w:i w:val="0"/>
              </w:rPr>
              <w:t>- Website Bộ Tài chính;</w:t>
            </w:r>
            <w:r>
              <w:rPr>
                <w:b w:val="0"/>
                <w:i w:val="0"/>
              </w:rPr>
              <w:br/>
            </w:r>
            <w:r>
              <w:rPr>
                <w:b w:val="0"/>
                <w:i w:val="0"/>
              </w:rPr>
              <w:t>- Lưu: VT, TCDT.</w:t>
            </w: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Hữu Chí</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