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14/2000/QĐ-UB Về giao dự toán thu, chi ngân sách Nhà nước năm 2000</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14/2000/QĐ-UB</w:t>
      </w:r>
      <w:r>
        <w:rPr>
          <w:b w:val="0"/>
          <w:i w:val="0"/>
        </w:rPr>
        <w:br/>
      </w:r>
      <w:r>
        <w:rPr>
          <w:b w:val="0"/>
          <w:i w:val="0"/>
        </w:rPr>
        <w:br/>
      </w:r>
      <w:r>
        <w:rPr>
          <w:b w:val="0"/>
          <w:i/>
        </w:rPr>
        <w:br/>
      </w:r>
      <w:r>
        <w:rPr>
          <w:b w:val="0"/>
          <w:i/>
        </w:rPr>
        <w:t>Bình Phước, ngày 01 tháng 03 năm 2000</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14/2000/QĐ-UB</w:t>
      </w:r>
      <w:r>
        <w:rPr>
          <w:b w:val="0"/>
          <w:i w:val="0"/>
        </w:rPr>
        <w:br/>
      </w:r>
      <w:r>
        <w:rPr>
          <w:b w:val="0"/>
          <w:i w:val="0"/>
        </w:rPr>
        <w:br/>
      </w:r>
      <w:r>
        <w:rPr>
          <w:b w:val="0"/>
          <w:i/>
        </w:rPr>
        <w:br/>
      </w:r>
      <w:r>
        <w:rPr>
          <w:b w:val="0"/>
          <w:i/>
        </w:rPr>
        <w:t>Bình Phước, ngày 01 tháng 03 năm 2000</w:t>
      </w:r>
      <w:r>
        <w:rPr>
          <w:b w:val="0"/>
          <w:i/>
        </w:rPr>
        <w:br/>
      </w:r>
      <w:r>
        <w:rPr>
          <w:b w:val="0"/>
          <w:i w:val="0"/>
        </w:rPr>
        <w:br/>
      </w:r>
    </w:p>
    <w:p>
      <w:pPr>
        <w:jc w:val="center"/>
      </w:pPr>
      <w:r>
        <w:rPr>
          <w:b w:val="0"/>
          <w:i w:val="0"/>
        </w:rPr>
        <w:br/>
      </w:r>
      <w:r>
        <w:rPr>
          <w:b w:val="0"/>
          <w:i w:val="0"/>
        </w:rPr>
        <w:t>Số: 14/2000/QĐ-UB</w:t>
      </w:r>
      <w:r>
        <w:rPr>
          <w:b w:val="0"/>
          <w:i w:val="0"/>
        </w:rPr>
        <w:br/>
      </w:r>
    </w:p>
    <w:p>
      <w:pPr>
        <w:jc w:val="center"/>
      </w:pPr>
      <w:r>
        <w:rPr>
          <w:b w:val="0"/>
          <w:i w:val="0"/>
        </w:rPr>
        <w:br/>
      </w:r>
      <w:r>
        <w:rPr>
          <w:b w:val="0"/>
          <w:i w:val="0"/>
        </w:rPr>
        <w:t>Bình Phước, ngày 01 tháng 03 năm 2000</w:t>
      </w:r>
      <w:r>
        <w:rPr>
          <w:b w:val="0"/>
          <w:i w:val="0"/>
        </w:rPr>
        <w:br/>
      </w:r>
    </w:p>
    <w:p>
      <w:r>
        <w:rPr>
          <w:b/>
          <w:i w:val="0"/>
        </w:rPr>
        <w:t>QUYẾT ĐỊNH CỦA ỦY BAN NHÂN DÂN TỈNH</w:t>
      </w:r>
    </w:p>
    <w:p>
      <w:r>
        <w:rPr>
          <w:b/>
          <w:i w:val="0"/>
        </w:rPr>
        <w:t>Về giao dự toán thu, chi ngân sách Nhà nước năm 2000</w:t>
      </w:r>
    </w:p>
    <w:p>
      <w:r>
        <w:rPr>
          <w:b/>
          <w:i w:val="0"/>
        </w:rPr>
        <w:t>_______________</w:t>
      </w:r>
    </w:p>
    <w:p>
      <w:r>
        <w:rPr>
          <w:b/>
          <w:i w:val="0"/>
        </w:rPr>
        <w:t>ỦY BAN NHÂN DÂN TỈNH</w:t>
      </w:r>
    </w:p>
    <w:p>
      <w:r>
        <w:rPr>
          <w:b w:val="0"/>
          <w:i/>
        </w:rPr>
        <w:t>Căn cứ Luật tổ chức Hội đồng Nhân dân và Ủy ban Nhân dân (Sửa đổi) ngày 21/6/1994.</w:t>
      </w:r>
    </w:p>
    <w:p>
      <w:r>
        <w:rPr>
          <w:b w:val="0"/>
          <w:i/>
        </w:rPr>
        <w:t>Căn cứ quyết định số 91/1999/QĐ-BTC ngày 29/12/1999 của Bộ Tài chính giao dự toán thu, chi ngân sách Nhà nước năm 2000.</w:t>
      </w:r>
    </w:p>
    <w:p>
      <w:r>
        <w:rPr>
          <w:b w:val="0"/>
          <w:i/>
        </w:rPr>
        <w:t>Căn cứ nghị quyết số 156/1999/NQ-HĐ của Hội đồng Nhân dân Tỉnh khóa VI kỳ họp thứ nhất ngày 29/12/1999 đánh giá tình hình thực hiện nhiệm vụ kinh tế-xã hội năm 1999 và phương hướng nhiệm vụ năm 2000.</w:t>
      </w:r>
    </w:p>
    <w:p>
      <w:r>
        <w:rPr>
          <w:b/>
          <w:i w:val="0"/>
        </w:rPr>
        <w:t>QUYẾT ĐỊNH</w:t>
      </w:r>
    </w:p>
    <w:p>
      <w:r>
        <w:rPr>
          <w:b/>
          <w:i w:val="0"/>
        </w:rPr>
        <w:t xml:space="preserve">Điều 1: </w:t>
      </w:r>
      <w:r>
        <w:rPr>
          <w:b w:val="0"/>
          <w:i w:val="0"/>
        </w:rPr>
        <w:t>Giao cho các Sở, Ban, Ngành, Công ty, Xí nghiệp và UBND các huyện, thị xã trên địa bàn Tỉnh Bình Phước chỉ tiêu thu, chi ngân sách Nhà nước năm 2000 ( Theo biểu chi tiết đính kèm )</w:t>
      </w:r>
    </w:p>
    <w:p>
      <w:r>
        <w:rPr>
          <w:b w:val="0"/>
          <w:i w:val="0"/>
        </w:rPr>
        <w:t>Trên cơ sở phương án phân bổ dự toán thu, chi ngân sách năm 2000 Hội đồng Nhân dân quyết định, Ủy ban Nhân dân các huyện, thị xã thực hiện giao dự toán thu, chi ngân sách Nhà nước năm 2000 cho các đơn vị trực thuộc và ngân sách cấp xã, phường; Ủy ban Nhân dân cấp xã, phường giao dự toán chi ngân sách Nhà nước cho các đơn vị trực thuộc.</w:t>
      </w:r>
    </w:p>
    <w:p>
      <w:r>
        <w:rPr>
          <w:b/>
          <w:i w:val="0"/>
        </w:rPr>
        <w:t xml:space="preserve">Điều 2: </w:t>
      </w:r>
      <w:r>
        <w:rPr>
          <w:b w:val="0"/>
          <w:i w:val="0"/>
        </w:rPr>
        <w:t>Căn cứ dự toán thu, chi ngân sách Nhà nước năm 2000 được giao, Ủy ban Nhân dân cấp huyện, thị xã và Ủy ban Nhân dân cấp xã, phường trên địa bàn tỉnh Bình Phước trình Hội đồng Nhân dân cùng cấp quyết định và tổ chức thực hiện.</w:t>
      </w:r>
    </w:p>
    <w:p>
      <w:r>
        <w:rPr>
          <w:b w:val="0"/>
          <w:i w:val="0"/>
        </w:rPr>
        <w:t>Ủy ban Nhân dân cấp huyện, thị xã và Ủy ban Nhân dân cấp xã, phường khi giao chỉ tiêu thu cho các đơn vị trực thuộc và Ủy ban Nhân dân cấp dưới về cơ bản khi tổng hợp lại không thấp hơn dự toán thu do ủy ban Nhân dân cấp trên giao và phải phù hợp với nguồn thu được hưởng; chỉ tiêu chi phải phù hợp với tổng mức và cơ cấu theo dự toán tổng hợp.</w:t>
      </w:r>
    </w:p>
    <w:p>
      <w:r>
        <w:rPr>
          <w:b/>
          <w:i w:val="0"/>
        </w:rPr>
        <w:t xml:space="preserve">Điều 3: </w:t>
      </w:r>
      <w:r>
        <w:rPr>
          <w:b w:val="0"/>
          <w:i w:val="0"/>
        </w:rPr>
        <w:t>Các Ông ( Bà ) Chánh văn phòng UBND tỉnh, Giám đốc Sở Tài chính-Vật giá, Cục trưởng Cục thuế Nhà nước, Kho bạc Nhà nước, Thủ trưởng các Sở, Ban, Ngành, Công ty, Xí nghiệp và Chủ tịch UBND các huyện, thị xã chịu trách nhiệm thi hành quyết định này.</w:t>
      </w:r>
    </w:p>
    <w:p>
      <w:r>
        <w:rPr>
          <w:b w:val="0"/>
          <w:i w:val="0"/>
        </w:rPr>
        <w:t>Quyết định này có hiệu lực thi hành kể từ ngày 01/01/2000.</w:t>
      </w:r>
    </w:p>
    <w:p>
      <w:r>
        <w:rPr>
          <w:b w:val="0"/>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