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150/2009/TTLT/BTC-BQP Sửa đổi, bổ sung Thông tư liên tịch số 43/2005/TTLT/BTC-BQP ngày 02/06/2005 hướng dẫn thực hiện chính sách thuế và thu Ngân sách Nhà nước đối với hoạt động sản xuất, kinh doanh hàng hoá, dịch vụ của các đơn vị thuộc Bộ Quốc phòng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 BỘ QUỐC PHÒNG</w:t>
            </w:r>
            <w:r>
              <w:br/>
            </w:r>
            <w:r>
              <w:rPr>
                <w:b w:val="0"/>
                <w:i w:val="0"/>
              </w:rPr>
              <w:br/>
            </w:r>
            <w:r>
              <w:rPr>
                <w:b/>
                <w:i w:val="0"/>
              </w:rPr>
              <w:t>-----------</w:t>
            </w:r>
            <w:r>
              <w:rPr>
                <w:b w:val="0"/>
                <w:i w:val="0"/>
              </w:rPr>
              <w:br/>
            </w:r>
            <w:r>
              <w:rPr>
                <w:b w:val="0"/>
                <w:i w:val="0"/>
              </w:rPr>
              <w:t xml:space="preserve">   Số:  150/2009</w:t>
            </w:r>
            <w:r>
              <w:rPr>
                <w:b/>
                <w:i w:val="0"/>
              </w:rPr>
              <w:t>/</w:t>
            </w:r>
            <w:r>
              <w:rPr>
                <w:b w:val="0"/>
                <w:i w:val="0"/>
              </w:rPr>
              <w:t>TTLT/BTC-BQP</w:t>
            </w:r>
          </w:p>
        </w:tc>
        <w:tc>
          <w:tcPr>
            <w:tcW w:type="dxa" w:w="4320"/>
          </w:tcPr>
          <w:p>
            <w:r>
              <w:rPr>
                <w:b w:val="0"/>
                <w:i w:val="0"/>
              </w:rPr>
              <w:br/>
            </w:r>
            <w:r>
              <w:rPr>
                <w:b/>
                <w:i w:val="0"/>
              </w:rPr>
              <w:t>CỘNG HOÀ XÃ HỘI CHỦ NGHĨA VIỆT NAM</w:t>
            </w:r>
            <w:r>
              <w:rPr>
                <w:b w:val="0"/>
                <w:i w:val="0"/>
              </w:rPr>
              <w:br/>
            </w:r>
            <w:r>
              <w:rPr>
                <w:b/>
                <w:i w:val="0"/>
              </w:rPr>
              <w:t>Độc lập</w:t>
            </w:r>
            <w:r>
              <w:rPr>
                <w:b/>
                <w:i w:val="0"/>
              </w:rPr>
              <w:t xml:space="preserve"> </w:t>
            </w:r>
            <w:r>
              <w:rPr>
                <w:b w:val="0"/>
                <w:i w:val="0"/>
              </w:rPr>
              <w:t>–</w:t>
            </w:r>
            <w:r>
              <w:rPr>
                <w:b/>
                <w:i w:val="0"/>
              </w:rPr>
              <w:t xml:space="preserve"> </w:t>
            </w:r>
            <w:r>
              <w:rPr>
                <w:b/>
                <w:i w:val="0"/>
              </w:rPr>
              <w:t>Tự do</w:t>
            </w:r>
            <w:r>
              <w:rPr>
                <w:b/>
                <w:i w:val="0"/>
              </w:rPr>
              <w:t xml:space="preserve"> </w:t>
            </w:r>
            <w:r>
              <w:rPr>
                <w:b w:val="0"/>
                <w:i w:val="0"/>
              </w:rPr>
              <w:t>–</w:t>
            </w:r>
            <w:r>
              <w:rPr>
                <w:b/>
                <w:i w:val="0"/>
              </w:rPr>
              <w:t xml:space="preserve"> </w:t>
            </w:r>
            <w:r>
              <w:rPr>
                <w:b/>
                <w:i w:val="0"/>
              </w:rPr>
              <w:t>Hạnh phúc</w:t>
            </w:r>
            <w:r>
              <w:rPr>
                <w:b w:val="0"/>
                <w:i w:val="0"/>
              </w:rPr>
              <w:br/>
            </w:r>
            <w:r>
              <w:rPr>
                <w:b/>
                <w:i w:val="0"/>
              </w:rPr>
              <w:t>-----------------------------------</w:t>
            </w:r>
            <w:r>
              <w:rPr>
                <w:b w:val="0"/>
                <w:i w:val="0"/>
              </w:rPr>
              <w:br/>
            </w:r>
            <w:r>
              <w:rPr>
                <w:b w:val="0"/>
                <w:i/>
              </w:rPr>
              <w:t>Hà Nội, ngày 22 tháng 7 năm 2009</w:t>
            </w:r>
          </w:p>
        </w:tc>
      </w:tr>
    </w:tbl>
    <w:p>
      <w:r>
        <w:rPr>
          <w:b/>
          <w:i w:val="0"/>
        </w:rPr>
        <w:t>THÔNG TƯ LIÊN TỊCH</w:t>
      </w:r>
    </w:p>
    <w:p>
      <w:r>
        <w:rPr>
          <w:b/>
          <w:i w:val="0"/>
        </w:rPr>
        <w:t>Sửa đổi, bổ sung Thông tư liên tịch số 43/2005/TTLT/BTC-BQP ngày 02/06/2005 hướng dẫn</w:t>
      </w:r>
      <w:r>
        <w:rPr>
          <w:b/>
          <w:i w:val="0"/>
        </w:rPr>
        <w:t xml:space="preserve"> </w:t>
      </w:r>
      <w:r>
        <w:rPr>
          <w:b/>
          <w:i w:val="0"/>
        </w:rPr>
        <w:t>thực hiện chính sách thuế và thu Ngân sách Nhà nước đối với hoạt động sản xuất, kinh doanh hàng hoá, dịch vụ của các đơn vị thuộc Bộ Quốc phòng</w:t>
      </w:r>
    </w:p>
    <w:p>
      <w:r>
        <w:rPr>
          <w:b/>
          <w:i w:val="0"/>
        </w:rPr>
        <w:t>-----------------------</w:t>
      </w:r>
    </w:p>
    <w:p>
      <w:pPr>
        <w:jc w:val="both"/>
      </w:pPr>
      <w:r>
        <w:rPr>
          <w:b w:val="0"/>
          <w:i/>
        </w:rPr>
        <w:t xml:space="preserve">Căn cứ Luật thuế thu nhập doanh nghiệp </w:t>
      </w:r>
      <w:r>
        <w:rPr>
          <w:b w:val="0"/>
          <w:i/>
        </w:rPr>
        <w:t>số 14/2008/QH12 ngày 03/06/2008 và Luật Ngân sách Nhà nước hiện hành;</w:t>
      </w:r>
    </w:p>
    <w:p>
      <w:pPr>
        <w:jc w:val="both"/>
      </w:pPr>
      <w:r>
        <w:rPr>
          <w:b w:val="0"/>
          <w:i/>
        </w:rPr>
        <w:t>Căn cứ Nghị định số 10/2004/NĐ-CP ngày 07/01/2004 của Chính phủ quy định về quản lý, sử dụng ngân sách và tài sản của Nhà nước đối với một số hoạt động thuộc lĩnh vực quốc phòng, an ninh;</w:t>
      </w:r>
    </w:p>
    <w:p>
      <w:pPr>
        <w:jc w:val="both"/>
      </w:pPr>
      <w:r>
        <w:rPr>
          <w:b w:val="0"/>
          <w:i/>
        </w:rPr>
        <w:t>Căn cứ Nghị định số 31/2005/NĐ-CP ngày 11/03/2005 của Chính phủ về sản xuất và cung ứng sản phẩm, dịch vụ công ích.</w:t>
      </w:r>
    </w:p>
    <w:p>
      <w:pPr>
        <w:jc w:val="both"/>
      </w:pPr>
      <w:r>
        <w:rPr>
          <w:b w:val="0"/>
          <w:i/>
        </w:rPr>
        <w:t>Để phù hợp với đặc thù hoạt động sản xuất, kinh doanh của các đơn vị thuộc Bộ Quốc phòng, Bộ Tài chính và Bộ Quốc phòng hướng dẫn sửa đổi, bổ sung một số nội dung tại Thông tư liên tịch số 43/2005/TTLT/BTC-BQP ngày 02/06/2005 của Bộ Tài chính - Bộ Quốc phòng hướng dẫn thực hiện chính sách thuế và thu Ngân sách Nhà nước đối với hoạt động sản xuất, kinh doanh hàng hoá, dịch vụ của các đơn vị thuộc Bộ Quốc phòng như sau:</w:t>
      </w:r>
    </w:p>
    <w:p>
      <w:pPr>
        <w:jc w:val="both"/>
      </w:pPr>
      <w:r>
        <w:rPr>
          <w:b/>
          <w:i w:val="0"/>
        </w:rPr>
        <w:t xml:space="preserve">Điều 1. </w:t>
      </w:r>
      <w:r>
        <w:rPr>
          <w:b w:val="0"/>
          <w:i w:val="0"/>
        </w:rPr>
        <w:t>Sửa đổi, bổ sung tiết b Điểm 2 Mục II Thông tư liên tịch số 43/2005/TTLT/BTC-BQP ngày 02/06/2005 như sau: “Kê khai, nộp thuế thu nhập doanh nghiệp: Trong kỳ kế hoạch mỗi quý một lần, các công ty quốc phòng có phát sinh thu nhập từ hoạt động sản xuất và cung ứng sản phẩm, dịch vụ công ích và thu nhập từ hoạt động sản xuất kinh doanh sản phẩm, hàng hoá, dịch vụ khác tự xác định số thuế thu nhập doanh nghiệp phải nộp và nộp về tài khoản của Bộ Quốc phòng mở tại Kho bạc Nhà nước thành phố Hà Nội. Cuối năm, các công ty quốc phòng thực hiện quyết toán thuế thu nhập doanh nghiệp từ hoạt động sản xuất và cung ứng sản phẩm, dịch vụ công ích và thuế thu nhập doanh nghiệp từ hoạt động sản xuất, kinh doanh sản phẩm, hàng hoá, dịch vụ khác với Bộ Quốc phòng theo đúng chế độ quy định. Trên cơ sở quyết toán của các công ty quốc phòng, Bộ Quốc phòng xác định số nộp chính thức của các công ty quốc phòng và nộp vào Ngân sách Nhà nước. Sau khi nộp thuế TNDN của các Công ty Quốc phòng theo quyết toán, Bộ Quốc phòng gửi Bộ Tài chính số nộp của Công ty Quốc phòng ở từng địa phương để thực hiện việc phân cấp, quản lý, sử dụng nguồn thu được thực hiện theo quy định của Luật Ngân sách Nhà nước.”.</w:t>
      </w:r>
    </w:p>
    <w:p>
      <w:pPr>
        <w:jc w:val="both"/>
      </w:pPr>
      <w:r>
        <w:rPr>
          <w:b/>
          <w:i w:val="0"/>
        </w:rPr>
        <w:t xml:space="preserve">Điều 2. </w:t>
      </w:r>
      <w:r>
        <w:rPr>
          <w:b w:val="0"/>
          <w:i w:val="0"/>
        </w:rPr>
        <w:t xml:space="preserve">Thông tư này có hiệu lực thi hành sau 45 ngày kể từ ngày ký.        </w:t>
      </w:r>
    </w:p>
    <w:p>
      <w:pPr>
        <w:jc w:val="both"/>
      </w:pPr>
      <w:r>
        <w:rPr>
          <w:b/>
          <w:i w:val="0"/>
        </w:rPr>
        <w:t xml:space="preserve">Điều 3. </w:t>
      </w:r>
      <w:r>
        <w:rPr>
          <w:b w:val="0"/>
          <w:i w:val="0"/>
        </w:rPr>
        <w:t>Trong quá trình thực hiện nếu có vướng mắc, đề nghị các tổ chức, cá nhân phản ánh về Bộ Tài chính và Bộ Quốc phòng để được hướng dẫn giải quyết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QUỐC PHÒNG</w:t>
            </w:r>
            <w:r>
              <w:br/>
            </w:r>
            <w:r>
              <w:rPr>
                <w:b w:val="0"/>
                <w:i w:val="0"/>
              </w:rPr>
              <w:br/>
            </w:r>
            <w:r>
              <w:rPr>
                <w:b/>
                <w:i w:val="0"/>
              </w:rPr>
              <w:t>THỨ TRƯỞNG</w:t>
            </w:r>
            <w:r>
              <w:br/>
            </w:r>
            <w:r>
              <w:rPr>
                <w:b w:val="0"/>
                <w:i w:val="0"/>
              </w:rPr>
              <w:br/>
            </w:r>
            <w:r>
              <w:rPr>
                <w:b w:val="0"/>
                <w:i w:val="0"/>
              </w:rPr>
              <w:t xml:space="preserve"> </w:t>
            </w:r>
            <w:r>
              <w:rPr>
                <w:b w:val="0"/>
                <w:i w:val="0"/>
              </w:rPr>
              <w:br/>
            </w:r>
            <w:r>
              <w:rPr>
                <w:b w:val="0"/>
                <w:i w:val="0"/>
              </w:rPr>
              <w:t>(Đã ký)</w:t>
            </w:r>
            <w:r>
              <w:rPr>
                <w:b/>
                <w:i w:val="0"/>
              </w:rPr>
              <w:t xml:space="preserve"> </w:t>
            </w:r>
            <w:r>
              <w:rPr>
                <w:b w:val="0"/>
                <w:i w:val="0"/>
              </w:rPr>
              <w:br/>
            </w:r>
            <w:r>
              <w:rPr>
                <w:b w:val="0"/>
                <w:i w:val="0"/>
              </w:rPr>
              <w:br/>
            </w:r>
            <w:r>
              <w:rPr>
                <w:b/>
                <w:i w:val="0"/>
              </w:rPr>
              <w:t>Thượng tướng Nguyễn Văn Được</w:t>
            </w:r>
          </w:p>
        </w:tc>
        <w:tc>
          <w:tcPr>
            <w:tcW w:type="dxa" w:w="4320"/>
          </w:tcPr>
          <w:p>
            <w:r>
              <w:rPr>
                <w:b w:val="0"/>
                <w:i w:val="0"/>
              </w:rPr>
              <w:br/>
            </w:r>
            <w:r>
              <w:rPr>
                <w:b/>
                <w:i w:val="0"/>
              </w:rPr>
              <w:t>KT. BỘ TRƯỞNG  BỘ TÀI CHÍNH</w:t>
            </w:r>
            <w:r>
              <w:br/>
            </w:r>
            <w:r>
              <w:rPr>
                <w:b w:val="0"/>
                <w:i w:val="0"/>
              </w:rPr>
              <w:br/>
            </w:r>
            <w:r>
              <w:rPr>
                <w:b/>
                <w:i w:val="0"/>
              </w:rPr>
              <w:t>THỨ TRƯỞNG</w:t>
            </w:r>
            <w:r>
              <w:br/>
            </w:r>
            <w:r>
              <w:rPr>
                <w:b w:val="0"/>
                <w:i w:val="0"/>
              </w:rPr>
              <w:br/>
            </w:r>
            <w:r>
              <w:rPr>
                <w:b w:val="0"/>
                <w:i w:val="0"/>
              </w:rPr>
              <w:t xml:space="preserve"> </w:t>
            </w:r>
            <w:r>
              <w:rPr>
                <w:b w:val="0"/>
                <w:i w:val="0"/>
              </w:rPr>
              <w:t xml:space="preserve"> </w:t>
            </w:r>
            <w:r>
              <w:rPr>
                <w:b w:val="0"/>
                <w:i w:val="0"/>
              </w:rPr>
              <w:br/>
            </w:r>
            <w:r>
              <w:rPr>
                <w:b w:val="0"/>
                <w:i w:val="0"/>
              </w:rPr>
              <w:t>(Đã ký)</w:t>
            </w:r>
            <w:r>
              <w:rPr>
                <w:b w:val="0"/>
                <w:i w:val="0"/>
              </w:rPr>
              <w:br/>
            </w:r>
            <w:r>
              <w:rPr>
                <w:b w:val="0"/>
                <w:i w:val="0"/>
              </w:rPr>
              <w:br/>
            </w:r>
            <w:r>
              <w:rPr>
                <w:b/>
                <w:i w:val="0"/>
              </w:rPr>
              <w:t>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