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15183/BTC-CST Công văn về việc không thu lệ phí công chứng, chứng thực khi xác nhận hợp đồng, văn bản về bất động sản của Ban quản lý Khu công nghiệp, Khu kinh tế, Khu công nghệ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