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151/1999/QĐ-TTg Chuyển Xí nghiệp Sửa chữa và Vận tải xăng dầu trực thuộc Công ty Vận tải xăng dầu Vitaco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 CỦA THỦ TƯỚNG CHÍNH PHỦ</w:t>
      </w:r>
    </w:p>
    <w:p>
      <w:pPr>
        <w:jc w:val="center"/>
      </w:pPr>
      <w:r>
        <w:rPr>
          <w:b/>
          <w:i w:val="0"/>
        </w:rPr>
        <w:t>Chuyển Xí nghiệp Sửa chữa và Vận tải xăng dầu trực thuộc Công ty Vận</w:t>
      </w:r>
    </w:p>
    <w:p>
      <w:pPr>
        <w:jc w:val="center"/>
      </w:pPr>
      <w:r>
        <w:rPr>
          <w:b/>
          <w:i w:val="0"/>
        </w:rPr>
        <w:t>tải xăng dầu Vitaco thành Công ty Cổ phần</w:t>
      </w:r>
    </w:p>
    <w:p>
      <w:pPr>
        <w:jc w:val="center"/>
      </w:pPr>
      <w:r>
        <w:rPr>
          <w:b/>
          <w:i w:val="0"/>
        </w:rPr>
        <w:t>THỦ TƯỚNG CHÍNH PHỦ</w:t>
      </w:r>
    </w:p>
    <w:p>
      <w:r>
        <w:rPr>
          <w:b w:val="0"/>
          <w:i/>
        </w:rPr>
        <w:t>Căn cứ Luật Tổ chức Chính phủ ngày 30 tháng 9 năm 1992;</w:t>
      </w:r>
    </w:p>
    <w:p>
      <w:r>
        <w:rPr>
          <w:b w:val="0"/>
          <w:i/>
        </w:rPr>
        <w:t xml:space="preserve">Căn cứ Nghị định số </w:t>
      </w:r>
      <w:r>
        <w:rPr>
          <w:b w:val="0"/>
          <w:i w:val="0"/>
        </w:rPr>
        <w:t>44/1998/NĐ-CP</w:t>
      </w:r>
      <w:r>
        <w:rPr>
          <w:b w:val="0"/>
          <w:i/>
        </w:rPr>
        <w:t xml:space="preserve"> ngày 29 tháng 6 năm 1998;</w:t>
      </w:r>
    </w:p>
    <w:p>
      <w:r>
        <w:rPr>
          <w:b w:val="0"/>
          <w:i/>
        </w:rPr>
        <w:t>Theo đề nghị của Bộ trưởng Bộ Thương mại,</w:t>
      </w:r>
    </w:p>
    <w:p>
      <w:pPr>
        <w:jc w:val="center"/>
      </w:pPr>
      <w:r>
        <w:rPr>
          <w:b/>
          <w:i w:val="0"/>
        </w:rPr>
        <w:t>QUYẾT ĐỊNH:</w:t>
      </w:r>
    </w:p>
    <w:p>
      <w:pPr>
        <w:jc w:val="both"/>
      </w:pPr>
      <w:r>
        <w:rPr>
          <w:b/>
          <w:i w:val="0"/>
        </w:rPr>
        <w:t>Điều 1.</w:t>
      </w:r>
      <w:r>
        <w:rPr>
          <w:b w:val="0"/>
          <w:i w:val="0"/>
        </w:rPr>
        <w:t>Phê duyệt phương án cổ phần hóa doanh nghiệp nhà nước Xí nghiệp Sửa chữa và Vận tải xăng dầu trực thuộc Công ty Vận tải xăng dầu Vitaco - Tổng công ty Xăng dầu Việt Nam như sau:</w:t>
      </w:r>
    </w:p>
    <w:p>
      <w:pPr>
        <w:jc w:val="both"/>
      </w:pPr>
      <w:r>
        <w:rPr>
          <w:b w:val="0"/>
          <w:i w:val="0"/>
        </w:rPr>
        <w:t>1.Vốn Điều lệ: 13.500.000.000 đồng</w:t>
      </w:r>
    </w:p>
    <w:p>
      <w:pPr>
        <w:jc w:val="both"/>
      </w:pPr>
      <w:r>
        <w:rPr>
          <w:b w:val="0"/>
          <w:i w:val="0"/>
        </w:rPr>
        <w:t>Trong đó:</w:t>
      </w:r>
    </w:p>
    <w:p>
      <w:pPr>
        <w:jc w:val="both"/>
      </w:pPr>
      <w:r>
        <w:rPr>
          <w:b w:val="0"/>
          <w:i w:val="0"/>
        </w:rPr>
        <w:t>Tỷ lệ cổ phần nhà nước 30% vốn Điều lệ.</w:t>
      </w:r>
    </w:p>
    <w:p>
      <w:pPr>
        <w:jc w:val="both"/>
      </w:pPr>
      <w:r>
        <w:rPr>
          <w:b w:val="0"/>
          <w:i w:val="0"/>
        </w:rPr>
        <w:t>Tỷ lệ cổ phần bán cho người lao động trong Công ty: 45% vốn Điều lệ.</w:t>
      </w:r>
    </w:p>
    <w:p>
      <w:pPr>
        <w:jc w:val="both"/>
      </w:pPr>
      <w:r>
        <w:rPr>
          <w:b w:val="0"/>
          <w:i w:val="0"/>
        </w:rPr>
        <w:t>Tỷ lệ cổ phần bán cho các đối tượng ngoài Công ty: 25% vốn Điều lệ.</w:t>
      </w:r>
    </w:p>
    <w:p>
      <w:pPr>
        <w:jc w:val="both"/>
      </w:pPr>
      <w:r>
        <w:rPr>
          <w:b w:val="0"/>
          <w:i w:val="0"/>
        </w:rPr>
        <w:t>2.Ưu đãi cho người lao động trong doanh nghiệp:</w:t>
      </w:r>
    </w:p>
    <w:p>
      <w:pPr>
        <w:jc w:val="both"/>
      </w:pPr>
      <w:r>
        <w:rPr>
          <w:b w:val="0"/>
          <w:i w:val="0"/>
        </w:rPr>
        <w:t>Tổng số cổ phần bán ưu đãi cho người lao động trong doanh nghiệp: 56.540 cổ phần,phần giá trị được ưu đãi 1.696.200.000 đồng.</w:t>
      </w:r>
    </w:p>
    <w:p>
      <w:pPr>
        <w:jc w:val="both"/>
      </w:pPr>
      <w:r>
        <w:rPr>
          <w:b w:val="0"/>
          <w:i w:val="0"/>
        </w:rPr>
        <w:t>Tổng số cổ phần theo giá ưu đãi bán cho người lao động nghèo trong doanh nghiệp trảdần 7.390 cổ phần, giá trị bán chịu 517.300.000 đồng.</w:t>
      </w:r>
    </w:p>
    <w:p>
      <w:pPr>
        <w:jc w:val="both"/>
      </w:pPr>
      <w:r>
        <w:rPr>
          <w:b w:val="0"/>
          <w:i w:val="0"/>
        </w:rPr>
        <w:t>3.Giao cho Bộ trưởng Bộ Thương mại phê duyệt việc sử dụng tiền bán cổ phần Xí nghiệp Sửa chữa và Vận tải xăng dầu trực thuộc Công ty Vận tải xăng dầu Vitaco theo quy định tại Nghị định số 44/1998/NĐ-CP ngày 29 tháng 6 năm 1998 của Chính phủ và Thông tư hướng dẫn số 104/1998/TT-BTC ngày 18 tháng 7 năm 1998 của Bộ Tài chính.</w:t>
      </w:r>
    </w:p>
    <w:p>
      <w:pPr>
        <w:jc w:val="both"/>
      </w:pPr>
      <w:r>
        <w:rPr>
          <w:b/>
          <w:i w:val="0"/>
        </w:rPr>
        <w:t>Điều 2.</w:t>
      </w:r>
      <w:r>
        <w:rPr>
          <w:b w:val="0"/>
          <w:i w:val="0"/>
        </w:rPr>
        <w:t>Chuyển doanh nghiệp nhà nước: Xí nghiệp Sửa chữa và Vận tải xăng dầu trực thuộc Công ty Vận tải xăng dầu Vitaco thành Công ty Cổ phần.</w:t>
      </w:r>
    </w:p>
    <w:p>
      <w:pPr>
        <w:jc w:val="both"/>
      </w:pPr>
      <w:r>
        <w:rPr>
          <w:b w:val="0"/>
          <w:i w:val="0"/>
        </w:rPr>
        <w:t>Tên gọi đầy đủ của Công ty: Công ty Cổ phần vận tải xăng dầu đường thủy Petrolimex.</w:t>
      </w:r>
    </w:p>
    <w:p>
      <w:pPr>
        <w:jc w:val="both"/>
      </w:pPr>
      <w:r>
        <w:rPr>
          <w:b w:val="0"/>
          <w:i w:val="0"/>
        </w:rPr>
        <w:t>Tên gọi tắt: Công ty Cổ phần vận tải xăng dầu.</w:t>
      </w:r>
    </w:p>
    <w:p>
      <w:pPr>
        <w:jc w:val="both"/>
      </w:pPr>
      <w:r>
        <w:rPr>
          <w:b w:val="0"/>
          <w:i w:val="0"/>
        </w:rPr>
        <w:t>Tên giao dịch quốc tế: Petrolimex joint stock tanker company.</w:t>
      </w:r>
    </w:p>
    <w:p>
      <w:pPr>
        <w:jc w:val="both"/>
      </w:pPr>
      <w:r>
        <w:rPr>
          <w:b w:val="0"/>
          <w:i w:val="0"/>
        </w:rPr>
        <w:t>Trụ sở chính: 12 Lê Duẩn, quận 1, thành phố Hồ Chí Minh.</w:t>
      </w:r>
    </w:p>
    <w:p>
      <w:pPr>
        <w:jc w:val="both"/>
      </w:pPr>
      <w:r>
        <w:rPr>
          <w:b/>
          <w:i w:val="0"/>
        </w:rPr>
        <w:t xml:space="preserve">Điều 3. </w:t>
      </w:r>
      <w:r>
        <w:rPr>
          <w:b w:val="0"/>
          <w:i w:val="0"/>
        </w:rPr>
        <w:t>Công ty Cổ phần vận tải xăng dầu đường thủy Petrolimex kinh doanh các ngành nghề chính:</w:t>
      </w:r>
    </w:p>
    <w:p>
      <w:pPr>
        <w:jc w:val="both"/>
      </w:pPr>
      <w:r>
        <w:rPr>
          <w:b w:val="0"/>
          <w:i w:val="0"/>
        </w:rPr>
        <w:t>Kinh doanh vận tải xăng dầu đường thủy.</w:t>
      </w:r>
    </w:p>
    <w:p>
      <w:pPr>
        <w:jc w:val="both"/>
      </w:pPr>
      <w:r>
        <w:rPr>
          <w:b w:val="0"/>
          <w:i w:val="0"/>
        </w:rPr>
        <w:t>Dịch vụ sửa chữa, nâng cấp phương tiện vận tải thủy, súc rửa tầu.</w:t>
      </w:r>
    </w:p>
    <w:p>
      <w:pPr>
        <w:jc w:val="both"/>
      </w:pPr>
      <w:r>
        <w:rPr>
          <w:b w:val="0"/>
          <w:i w:val="0"/>
        </w:rPr>
        <w:t>Kinh doanh vật tư, thiết bị, phục vụ cho ngành.</w:t>
      </w:r>
    </w:p>
    <w:p>
      <w:pPr>
        <w:jc w:val="both"/>
      </w:pPr>
      <w:r>
        <w:rPr>
          <w:b/>
          <w:i w:val="0"/>
        </w:rPr>
        <w:t>Điều 4.</w:t>
      </w:r>
      <w:r>
        <w:rPr>
          <w:b w:val="0"/>
          <w:i w:val="0"/>
        </w:rPr>
        <w:t>Công ty Cổ phần vận tải xăng dầu đường thủy Petrolimex:</w:t>
      </w:r>
    </w:p>
    <w:p>
      <w:r>
        <w:rPr>
          <w:b w:val="0"/>
          <w:i w:val="0"/>
        </w:rPr>
        <w:t>Có tư cách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Công ty.</w:t>
      </w:r>
    </w:p>
    <w:p>
      <w:r>
        <w:rPr>
          <w:b w:val="0"/>
          <w:i w:val="0"/>
        </w:rPr>
        <w:t>Giám đốc và kế toán trưởng Xí nghiệp Sửa chữa và Vận tải xăng dầu trực thuộc Công ty Vận tải xăng dầu Vitaco có trách nhiệm điều hành công việc quản lý doanh nghiệp đến khi bàn giao toàn bộ cho Hội đồng Quản trị và Giám đốc Công ty Cổ phần vận tải xăng dầu đường thủy Petrolimex.</w:t>
      </w:r>
    </w:p>
    <w:p>
      <w:pPr>
        <w:jc w:val="both"/>
      </w:pPr>
      <w:r>
        <w:rPr>
          <w:b/>
          <w:i w:val="0"/>
        </w:rPr>
        <w:t>Điều 5.</w:t>
      </w:r>
      <w:r>
        <w:rPr>
          <w:b w:val="0"/>
          <w:i w:val="0"/>
        </w:rPr>
        <w:t>Quyết định này có hiệu lực thi hành từ ngày ký. Bãi bỏ các Quyết định trước đây trái với Quyết định này. Bộ trưởng Bộ Thương mại, Hội đồng Quản trị Tổng công ty Xăng dầu Việt Nam, Giám đốc Xí nghiệp Sửa chữa và Vận tải xăng dầu trực thuộc Công ty Vận tải xăng dầu Vitaco, Hội đồng Quản trị Công ty Cổ phần vận tải xăng dầu đường thủy Petrolimex,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br/>
            </w:r>
            <w:r>
              <w:rPr>
                <w:b/>
                <w:i w:val="0"/>
              </w:rPr>
              <w:br/>
              <w:t xml:space="preserve">         PHÓ THỦ TƯỚNG</w:t>
            </w:r>
            <w:r>
              <w:br/>
            </w:r>
            <w:r>
              <w:br/>
            </w:r>
            <w:r>
              <w:rPr>
                <w:b/>
                <w:i/>
              </w:rPr>
              <w:t>(Đã ký)</w:t>
            </w:r>
            <w:r>
              <w:rPr>
                <w:b w:val="0"/>
                <w:i w:val="0"/>
              </w:rPr>
              <w:br/>
            </w:r>
            <w:r>
              <w:br/>
            </w:r>
            <w:r>
              <w:br/>
            </w:r>
            <w:r>
              <w:rPr>
                <w:b/>
                <w:i w:val="0"/>
              </w:rPr>
              <w:br/>
              <w:t xml:space="preserve">         Ngô Xuân Lộc</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