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151/1999/QĐ-UB Về việc xử lý đối với nhà ở cho thuê thuộc quyền sở hữu Nhà nước trên địa bàn thành phố Đà Lạt, thị xã Bảo Lộc nhưng bên thuê đã chuyển nhượng quyền thuê cho người khác</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151/1999/QĐ-UB</w:t>
      </w:r>
      <w:r>
        <w:rPr>
          <w:b w:val="0"/>
          <w:i w:val="0"/>
        </w:rPr>
        <w:br/>
      </w:r>
      <w:r>
        <w:rPr>
          <w:b w:val="0"/>
          <w:i w:val="0"/>
        </w:rPr>
        <w:br/>
      </w:r>
      <w:r>
        <w:rPr>
          <w:b w:val="0"/>
          <w:i/>
        </w:rPr>
        <w:br/>
      </w:r>
      <w:r>
        <w:rPr>
          <w:b w:val="0"/>
          <w:i/>
        </w:rPr>
        <w:t>Lâm Đồng, ngày 08 tháng 11 năm 1999</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151/1999/QĐ-UB</w:t>
      </w:r>
      <w:r>
        <w:rPr>
          <w:b w:val="0"/>
          <w:i w:val="0"/>
        </w:rPr>
        <w:br/>
      </w:r>
      <w:r>
        <w:rPr>
          <w:b w:val="0"/>
          <w:i w:val="0"/>
        </w:rPr>
        <w:br/>
      </w:r>
      <w:r>
        <w:rPr>
          <w:b w:val="0"/>
          <w:i/>
        </w:rPr>
        <w:br/>
      </w:r>
      <w:r>
        <w:rPr>
          <w:b w:val="0"/>
          <w:i/>
        </w:rPr>
        <w:t>Lâm Đồng, ngày 08 tháng 11 năm 1999</w:t>
      </w:r>
      <w:r>
        <w:rPr>
          <w:b w:val="0"/>
          <w:i/>
        </w:rPr>
        <w:br/>
      </w:r>
      <w:r>
        <w:rPr>
          <w:b w:val="0"/>
          <w:i w:val="0"/>
        </w:rPr>
        <w:br/>
      </w:r>
    </w:p>
    <w:p>
      <w:pPr>
        <w:jc w:val="center"/>
      </w:pPr>
      <w:r>
        <w:rPr>
          <w:b w:val="0"/>
          <w:i w:val="0"/>
        </w:rPr>
        <w:br/>
      </w:r>
      <w:r>
        <w:rPr>
          <w:b w:val="0"/>
          <w:i w:val="0"/>
        </w:rPr>
        <w:t>Số: 151/1999/QĐ-UB</w:t>
      </w:r>
      <w:r>
        <w:rPr>
          <w:b w:val="0"/>
          <w:i w:val="0"/>
        </w:rPr>
        <w:br/>
      </w:r>
    </w:p>
    <w:p>
      <w:pPr>
        <w:jc w:val="center"/>
      </w:pPr>
      <w:r>
        <w:rPr>
          <w:b w:val="0"/>
          <w:i w:val="0"/>
        </w:rPr>
        <w:br/>
      </w:r>
      <w:r>
        <w:rPr>
          <w:b w:val="0"/>
          <w:i w:val="0"/>
        </w:rPr>
        <w:t>Lâm Đồng, ngày 08 tháng 11 năm 1999</w:t>
      </w:r>
      <w:r>
        <w:rPr>
          <w:b w:val="0"/>
          <w:i w:val="0"/>
        </w:rPr>
        <w:br/>
      </w:r>
    </w:p>
    <w:p>
      <w:r>
        <w:rPr>
          <w:b w:val="0"/>
          <w:i w:val="0"/>
        </w:rPr>
        <w:br/>
      </w:r>
      <w:r>
        <w:rPr>
          <w:b/>
          <w:i w:val="0"/>
        </w:rPr>
        <w:t>QUYẾT ĐỊNH CỦA UBND TỈNH LÂM ĐỒNG</w:t>
      </w:r>
      <w:r>
        <w:rPr>
          <w:b w:val="0"/>
          <w:i w:val="0"/>
        </w:rPr>
        <w:br/>
      </w:r>
      <w:r>
        <w:rPr>
          <w:b/>
          <w:i w:val="0"/>
        </w:rPr>
        <w:t xml:space="preserve">Về việc Xử lý đối với nhà ở cho thuê thuộc quyền sở hữu Nhà nước </w:t>
      </w:r>
      <w:r>
        <w:rPr>
          <w:b/>
          <w:i w:val="0"/>
        </w:rPr>
        <w:t>trên địa bàn thành phố Đà Lạt, thị xã Bảo Lộc nhưng bên thuê đã chuyển nhượng quyền thuê cho người khác.</w:t>
      </w:r>
      <w:r>
        <w:rPr>
          <w:b w:val="0"/>
          <w:i w:val="0"/>
        </w:rPr>
        <w:br/>
      </w:r>
      <w:r>
        <w:rPr>
          <w:b/>
          <w:i w:val="0"/>
        </w:rPr>
        <w:t xml:space="preserve"> </w:t>
      </w:r>
      <w:r>
        <w:rPr>
          <w:b w:val="0"/>
          <w:i w:val="0"/>
        </w:rPr>
        <w:br/>
      </w:r>
      <w:r>
        <w:rPr>
          <w:b/>
          <w:i w:val="0"/>
        </w:rPr>
        <w:t>ỦY BAN NHÂN DÂN TỈNH LÂM ĐỒNG</w:t>
      </w:r>
      <w:r>
        <w:rPr>
          <w:b w:val="0"/>
          <w:i w:val="0"/>
        </w:rPr>
        <w:br/>
      </w:r>
      <w:r>
        <w:rPr>
          <w:b w:val="0"/>
          <w:i/>
        </w:rPr>
        <w:t>Căn cứ Luật Tổ chức Hội đồng Nhân dân và ủy ban Nhân dân (sửa đổi) ngày 21/6/1994;</w:t>
      </w:r>
      <w:r>
        <w:rPr>
          <w:b w:val="0"/>
          <w:i w:val="0"/>
        </w:rPr>
        <w:br/>
      </w:r>
      <w:r>
        <w:rPr>
          <w:b w:val="0"/>
          <w:i/>
        </w:rPr>
        <w:t>Căn cứ Nghị định số 61/CP ngày 05/7/1994 của Chính Phủ về việc mua bán và kinh doanh nhà;</w:t>
      </w:r>
      <w:r>
        <w:rPr>
          <w:b w:val="0"/>
          <w:i w:val="0"/>
        </w:rPr>
        <w:br/>
      </w:r>
      <w:r>
        <w:rPr>
          <w:b w:val="0"/>
          <w:i/>
        </w:rPr>
        <w:t>Căn cứ công văn số 806/BXD-QLN ngày 31/5/1995 của Bộ trưởng Bộ Xây dựng về việc thực hiện Nghị định số 60/CP và 61/CP của Chính phủ;</w:t>
      </w:r>
      <w:r>
        <w:rPr>
          <w:b w:val="0"/>
          <w:i w:val="0"/>
        </w:rPr>
        <w:br/>
      </w:r>
      <w:r>
        <w:rPr>
          <w:b w:val="0"/>
          <w:i/>
        </w:rPr>
        <w:t>Xét đề nghị của Công ty Kinh doanh và Phát triển nhà Lâm Đồng tại tờ trình số 291/TT-KDN ngày 04/8/1999;</w:t>
      </w:r>
      <w:r>
        <w:rPr>
          <w:b w:val="0"/>
          <w:i w:val="0"/>
        </w:rPr>
        <w:br/>
      </w:r>
      <w:r>
        <w:rPr>
          <w:b w:val="0"/>
          <w:i/>
        </w:rPr>
        <w:t>Theo đề nghị của Giám đốc Sở Xây dựng tại tờ trình số 1136/TT-XD-QLN ngày 20/8/1999 về việc giải quyết những vướng mắc, tồn tại trong việc thực hiện Quyết định số 01/QĐ-UB ngày 02/01/1997 của ủy ban Nhân dân tỉnh Lâm Đồng,</w:t>
      </w:r>
      <w:r>
        <w:rPr>
          <w:b w:val="0"/>
          <w:i w:val="0"/>
        </w:rPr>
        <w:br/>
      </w:r>
      <w:r>
        <w:rPr>
          <w:b/>
          <w:i w:val="0"/>
        </w:rPr>
        <w:t xml:space="preserve"> </w:t>
      </w:r>
      <w:r>
        <w:rPr>
          <w:b w:val="0"/>
          <w:i w:val="0"/>
        </w:rPr>
        <w:br/>
      </w:r>
      <w:r>
        <w:rPr>
          <w:b/>
          <w:i w:val="0"/>
        </w:rPr>
        <w:t>QUYẾT ĐỊNH:</w:t>
      </w:r>
      <w:r>
        <w:rPr>
          <w:b w:val="0"/>
          <w:i w:val="0"/>
        </w:rPr>
        <w:br/>
      </w:r>
      <w:r>
        <w:rPr>
          <w:b/>
          <w:i w:val="0"/>
        </w:rPr>
        <w:t>Điều 1:</w:t>
      </w:r>
      <w:r>
        <w:rPr>
          <w:b w:val="0"/>
          <w:i w:val="0"/>
        </w:rPr>
        <w:t xml:space="preserve"> Nhà ở cho thuê thuộc quyền sở hữu Nhà nước trên địa bàn thành phố Đà Lạt và thị xã Bảo Lộc nhưng bên thuê đã chuyển nhượng quyền thuê cho người khác từ trước ngày ban hành quyết định này thì xử lý như sau:</w:t>
      </w:r>
      <w:r>
        <w:rPr>
          <w:b w:val="0"/>
          <w:i w:val="0"/>
        </w:rPr>
        <w:br/>
      </w:r>
      <w:r>
        <w:rPr>
          <w:b/>
          <w:i w:val="0"/>
        </w:rPr>
        <w:t>a/</w:t>
      </w:r>
      <w:r>
        <w:rPr>
          <w:b w:val="0"/>
          <w:i w:val="0"/>
        </w:rPr>
        <w:t xml:space="preserve"> Đối với nhà ở phù hợp với quy hoạch là đất ở, việc chuyển nhượng quyền thuê nhà là tự nguyện, không có tranh chấp, bên thuê nhà đã chuyển đi chỗ khác, người nhận lại quyền thuê nhà đã đến ở và không có chỗ ở khác, có hộ khẩu thường trú tại địa phương (nơi có nhà), thì cho phép Công ty Kinh doanh và Phát triển nhà Lâm Đồng được làm thủ tục chuyển hợp đồng thuê cho người đang ở. </w:t>
      </w:r>
      <w:r>
        <w:rPr>
          <w:b w:val="0"/>
          <w:i w:val="0"/>
        </w:rPr>
        <w:br/>
      </w:r>
      <w:r>
        <w:rPr>
          <w:b/>
          <w:i w:val="0"/>
        </w:rPr>
        <w:t>b/</w:t>
      </w:r>
      <w:r>
        <w:rPr>
          <w:b w:val="0"/>
          <w:i w:val="0"/>
        </w:rPr>
        <w:t xml:space="preserve"> Người được nhận hợp đồng thuê mới có nghĩa vụ đóng góp vào quỹ phát triển nhà của tỉnh với mức bằng lệ phí trước bạ của loại nhà tương ứng khi chuyển quyền sở hữu nhà ở (nộp tại Kho bạc Nhà nước theo giấy báo nộp tiền của Công ty Kinh doanh và Phát triển nhà Lâm Đồng).</w:t>
      </w:r>
      <w:r>
        <w:rPr>
          <w:b w:val="0"/>
          <w:i w:val="0"/>
        </w:rPr>
        <w:br/>
      </w:r>
      <w:r>
        <w:rPr>
          <w:b/>
          <w:i w:val="0"/>
        </w:rPr>
        <w:t xml:space="preserve">Điều 2: </w:t>
      </w:r>
      <w:r>
        <w:rPr>
          <w:b w:val="0"/>
          <w:i w:val="0"/>
        </w:rPr>
        <w:t>Giao Sở Xây dựng, công ty Kinh doanh và phát triển nhà Lâm Đồng với chức năng, nhiệm vụ được giao có trách nhiệm tổ chức triển khai thực hiện theo đúng nội dung quyết định này.</w:t>
      </w:r>
      <w:r>
        <w:rPr>
          <w:b w:val="0"/>
          <w:i w:val="0"/>
        </w:rPr>
        <w:br/>
      </w:r>
      <w:r>
        <w:rPr>
          <w:b w:val="0"/>
          <w:i w:val="0"/>
        </w:rPr>
        <w:t>Quyết định này thay thế cho quyết định số 01/QĐ-UB ngày 02/01/1997 của Uỷ ban Nhân dân tỉnh Lâm Đồng.</w:t>
      </w:r>
      <w:r>
        <w:rPr>
          <w:b w:val="0"/>
          <w:i w:val="0"/>
        </w:rPr>
        <w:br/>
      </w:r>
      <w:r>
        <w:rPr>
          <w:b/>
          <w:i w:val="0"/>
        </w:rPr>
        <w:t xml:space="preserve">Điều 3: </w:t>
      </w:r>
      <w:r>
        <w:rPr>
          <w:b w:val="0"/>
          <w:i w:val="0"/>
        </w:rPr>
        <w:t>Các ông Chánh Văn phòng ủy ban Nhân dân Tỉnh, Chủ tịch ủy ban Nhân dân thành phố Đà Lạt, Chủ tịch Uỷ ban Nhân dân thị xã Bảo Lộc, Giám đốc các Sở: Xây dựng, Tài chính Vật giá, Giám đốc Kho bạc Nhà nước Tỉnh, Giám đốc công ty Kinh doanh và phát triển nhà Lâm Đồng và thủ trưởng các ngành có liên quan có trách nhiệm thi hành Quyết định này kể từ ngày ký./.</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Q.CHỦ TỊCH</w:t>
      </w:r>
      <w:r>
        <w:rPr>
          <w:b/>
          <w:i w:val="0"/>
        </w:rPr>
        <w:br/>
      </w:r>
      <w:r>
        <w:rPr>
          <w:b/>
          <w:i w:val="0"/>
        </w:rPr>
        <w:br/>
      </w:r>
      <w:r>
        <w:rPr>
          <w:b/>
          <w:i/>
        </w:rPr>
        <w:br/>
      </w:r>
      <w:r>
        <w:rPr>
          <w:b/>
          <w:i/>
        </w:rPr>
        <w:t>(Đã ký)</w:t>
      </w:r>
      <w:r>
        <w:rPr>
          <w:b/>
          <w:i/>
        </w:rPr>
        <w:br/>
      </w:r>
      <w:r>
        <w:rPr>
          <w:b/>
          <w:i w:val="0"/>
        </w:rPr>
        <w:br/>
      </w:r>
      <w:r>
        <w:rPr>
          <w:b/>
          <w:i w:val="0"/>
        </w:rPr>
        <w:br/>
      </w:r>
      <w:r>
        <w:rPr>
          <w:b/>
          <w:i w:val="0"/>
        </w:rPr>
        <w:t>Đặng Đức Lợi</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Q.CHỦ TỊCH</w:t>
      </w:r>
      <w:r>
        <w:rPr>
          <w:b/>
          <w:i w:val="0"/>
        </w:rPr>
        <w:br/>
      </w:r>
      <w:r>
        <w:rPr>
          <w:b w:val="0"/>
          <w:i w:val="0"/>
        </w:rPr>
        <w:br/>
      </w:r>
      <w:r>
        <w:rPr>
          <w:b/>
          <w:i/>
        </w:rPr>
        <w:br/>
      </w:r>
      <w:r>
        <w:rPr>
          <w:b/>
          <w:i/>
        </w:rPr>
        <w:t>(Đã ký)</w:t>
      </w:r>
      <w:r>
        <w:rPr>
          <w:b/>
          <w:i/>
        </w:rPr>
        <w:br/>
      </w:r>
      <w:r>
        <w:rPr>
          <w:b w:val="0"/>
          <w:i w:val="0"/>
        </w:rPr>
        <w:br/>
      </w:r>
      <w:r>
        <w:rPr>
          <w:b/>
          <w:i w:val="0"/>
        </w:rPr>
        <w:br/>
      </w:r>
      <w:r>
        <w:rPr>
          <w:b/>
          <w:i w:val="0"/>
        </w:rPr>
        <w:t>Đặng Đức Lợi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Q.CHỦ TỊCH</w:t>
      </w:r>
      <w:r>
        <w:rPr>
          <w:b w:val="0"/>
          <w:i w:val="0"/>
        </w:rPr>
        <w:br/>
      </w:r>
    </w:p>
    <w:p>
      <w:r>
        <w:rPr>
          <w:b w:val="0"/>
          <w:i w:val="0"/>
        </w:rPr>
        <w:br/>
      </w:r>
      <w:r>
        <w:rPr>
          <w:b w:val="0"/>
          <w:i w:val="0"/>
        </w:rPr>
        <w:t>(Đã ký)</w:t>
      </w:r>
      <w:r>
        <w:rPr>
          <w:b w:val="0"/>
          <w:i w:val="0"/>
        </w:rPr>
        <w:br/>
      </w:r>
    </w:p>
    <w:p>
      <w:r>
        <w:rPr>
          <w:b w:val="0"/>
          <w:i w:val="0"/>
        </w:rPr>
        <w:br/>
      </w:r>
      <w:r>
        <w:rPr>
          <w:b w:val="0"/>
          <w:i w:val="0"/>
        </w:rPr>
        <w:t>Đặng Đức Lợi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