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153/2000/QĐ-TTg Về việc chuyển nhà máy thuốc lá Cửu Long và nhà máy thuốc lá Đồng Tháp về làm doanh nghiệp thành viên của Tổng công ty Thuốc lá Việt Nam</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153/2000/QĐ-TTg</w:t>
      </w:r>
      <w:r>
        <w:rPr>
          <w:b w:val="0"/>
          <w:i w:val="0"/>
        </w:rPr>
        <w:br/>
      </w:r>
      <w:r>
        <w:rPr>
          <w:b w:val="0"/>
          <w:i w:val="0"/>
        </w:rPr>
        <w:br/>
      </w:r>
      <w:r>
        <w:rPr>
          <w:b w:val="0"/>
          <w:i/>
        </w:rPr>
        <w:br/>
      </w:r>
      <w:r>
        <w:rPr>
          <w:b w:val="0"/>
          <w:i/>
        </w:rPr>
        <w:t>Hà Nội, ngày 31 tháng 12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153/2000/QĐ-TTg</w:t>
      </w:r>
      <w:r>
        <w:rPr>
          <w:b w:val="0"/>
          <w:i w:val="0"/>
        </w:rPr>
        <w:br/>
      </w:r>
      <w:r>
        <w:rPr>
          <w:b w:val="0"/>
          <w:i w:val="0"/>
        </w:rPr>
        <w:br/>
      </w:r>
      <w:r>
        <w:rPr>
          <w:b w:val="0"/>
          <w:i/>
        </w:rPr>
        <w:br/>
      </w:r>
      <w:r>
        <w:rPr>
          <w:b w:val="0"/>
          <w:i/>
        </w:rPr>
        <w:t>Hà Nội, ngày 31 tháng 12 năm 2000</w:t>
      </w:r>
      <w:r>
        <w:rPr>
          <w:b w:val="0"/>
          <w:i/>
        </w:rPr>
        <w:br/>
      </w:r>
      <w:r>
        <w:rPr>
          <w:b w:val="0"/>
          <w:i w:val="0"/>
        </w:rPr>
        <w:br/>
      </w:r>
    </w:p>
    <w:p>
      <w:pPr>
        <w:jc w:val="center"/>
      </w:pPr>
      <w:r>
        <w:rPr>
          <w:b w:val="0"/>
          <w:i w:val="0"/>
        </w:rPr>
        <w:br/>
      </w:r>
      <w:r>
        <w:rPr>
          <w:b w:val="0"/>
          <w:i w:val="0"/>
        </w:rPr>
        <w:t>Số: 153/2000/QĐ-TTg</w:t>
      </w:r>
      <w:r>
        <w:rPr>
          <w:b w:val="0"/>
          <w:i w:val="0"/>
        </w:rPr>
        <w:br/>
      </w:r>
    </w:p>
    <w:p>
      <w:pPr>
        <w:jc w:val="center"/>
      </w:pPr>
      <w:r>
        <w:rPr>
          <w:b w:val="0"/>
          <w:i w:val="0"/>
        </w:rPr>
        <w:br/>
      </w:r>
      <w:r>
        <w:rPr>
          <w:b w:val="0"/>
          <w:i w:val="0"/>
        </w:rPr>
        <w:t>Hà Nội, ngày 31 tháng 12 năm 2000</w:t>
      </w:r>
      <w:r>
        <w:rPr>
          <w:b w:val="0"/>
          <w:i w:val="0"/>
        </w:rPr>
        <w:br/>
      </w:r>
    </w:p>
    <w:p>
      <w:r>
        <w:rPr>
          <w:b w:val="0"/>
          <w:i w:val="0"/>
        </w:rPr>
        <w:br/>
      </w:r>
      <w:r>
        <w:rPr>
          <w:b/>
          <w:i w:val="0"/>
        </w:rPr>
        <w:t>QUYẾT ĐỊNH</w:t>
      </w:r>
      <w:r>
        <w:rPr>
          <w:b w:val="0"/>
          <w:i w:val="0"/>
        </w:rPr>
        <w:br/>
      </w:r>
      <w:r>
        <w:rPr>
          <w:b/>
          <w:i/>
        </w:rPr>
        <w:t xml:space="preserve">Về việc chuyển nhà máy thuốc lá Cửu Long và nhà máy thuốc lá Đồng Tháp </w:t>
      </w:r>
      <w:r>
        <w:rPr>
          <w:b w:val="0"/>
          <w:i w:val="0"/>
        </w:rPr>
        <w:br/>
      </w:r>
      <w:r>
        <w:rPr>
          <w:b/>
          <w:i/>
        </w:rPr>
        <w:t>về làm doanh nghiệp thành viên của Tổng công ty Thuốc lá Việt Nam</w:t>
      </w:r>
      <w:r>
        <w:rPr>
          <w:b/>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Doanh nghiệp nhà nước ngày 20 tháng 4 năm 1995;</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 xml:space="preserve">Xét đề nghị của </w:t>
      </w:r>
      <w:r>
        <w:rPr>
          <w:b w:val="0"/>
          <w:i/>
        </w:rPr>
        <w:t>Ủ</w:t>
      </w:r>
      <w:r>
        <w:rPr>
          <w:b w:val="0"/>
          <w:i/>
        </w:rPr>
        <w:t xml:space="preserve">y ban nhân dân tỉnh Vĩnh Long, </w:t>
      </w:r>
      <w:r>
        <w:rPr>
          <w:b w:val="0"/>
          <w:i/>
        </w:rPr>
        <w:t>Ủ</w:t>
      </w:r>
      <w:r>
        <w:rPr>
          <w:b w:val="0"/>
          <w:i/>
        </w:rPr>
        <w:t>y ban nhân dân tỉnh Đồng Tháp và Chủ tịch Hội đồng quản trị Tổng công ty Thuốc lá Việt Nam.</w:t>
      </w:r>
      <w:r>
        <w:rPr>
          <w:b w:val="0"/>
          <w:i w:val="0"/>
        </w:rPr>
        <w:br/>
      </w:r>
      <w:r>
        <w:rPr>
          <w:b/>
          <w:i w:val="0"/>
        </w:rPr>
        <w:t>QUYẾT ĐỊNH:</w:t>
      </w:r>
      <w:r>
        <w:rPr>
          <w:b w:val="0"/>
          <w:i w:val="0"/>
        </w:rPr>
        <w:br/>
      </w:r>
      <w:r>
        <w:rPr>
          <w:b/>
          <w:i w:val="0"/>
        </w:rPr>
        <w:t xml:space="preserve">Điều 1. </w:t>
      </w:r>
      <w:r>
        <w:rPr>
          <w:b w:val="0"/>
          <w:i w:val="0"/>
        </w:rPr>
        <w:t>Chuyển nhà máy thuốc lá Cửu Long (thuộc Ủy ban nhân dân tỉnh Vĩnh Long) và nhà máy thuốc lá Đồng Tháp (thuộc Ủy ban nhân dân tỉnh Đồng Tháp) về làm doanh nghiệp thành viên hạch toán độc lập của Tổng công ty Thuốc lá Việt Nam.</w:t>
      </w:r>
      <w:r>
        <w:rPr>
          <w:b w:val="0"/>
          <w:i w:val="0"/>
        </w:rPr>
        <w:br/>
      </w:r>
      <w:r>
        <w:rPr>
          <w:b/>
          <w:i w:val="0"/>
        </w:rPr>
        <w:t xml:space="preserve">Điều 2. </w:t>
      </w:r>
      <w:r>
        <w:rPr>
          <w:b w:val="0"/>
          <w:i w:val="0"/>
        </w:rPr>
        <w:t>Giao Chủ tịch Hội đồng quản trị Tổng công ty Thuốc lá Việt Nam chủ trì, phối hợp với Ủy ban nhân dân tỉnh Vĩnh Long và Ủy ban nhân dân tỉnh Đồng Tháp thực hiện việc bàn giao và tiếp nhận hai nhà máy trên theo các quy định hiện hành của Nhà nước.</w:t>
      </w:r>
      <w:r>
        <w:rPr>
          <w:b w:val="0"/>
          <w:i w:val="0"/>
        </w:rPr>
        <w:br/>
      </w:r>
      <w:r>
        <w:rPr>
          <w:b w:val="0"/>
          <w:i w:val="0"/>
        </w:rPr>
        <w:t>Việc xử lý nợ đọng thuế tiêu thụ đặc biệt của hai nhà máy nói trên thực hiện theo công văn số 1096/CP-KTTH ngày 28 tháng 11 năm 2000 của</w:t>
      </w:r>
      <w:r>
        <w:rPr>
          <w:b w:val="0"/>
          <w:i w:val="0"/>
        </w:rPr>
        <w:br/>
      </w:r>
      <w:r>
        <w:rPr>
          <w:b/>
          <w:i w:val="0"/>
        </w:rPr>
        <w:t xml:space="preserve">Điều 3. </w:t>
      </w:r>
      <w:r>
        <w:rPr>
          <w:b w:val="0"/>
          <w:i w:val="0"/>
        </w:rPr>
        <w:t>Quyết định này có hiệu lực thi hành sau 15 ngày, kể từ ngày ký.</w:t>
      </w:r>
      <w:r>
        <w:rPr>
          <w:b w:val="0"/>
          <w:i w:val="0"/>
        </w:rPr>
        <w:br/>
      </w:r>
      <w:r>
        <w:rPr>
          <w:b w:val="0"/>
          <w:i w:val="0"/>
        </w:rPr>
        <w:t>Bộ trưởng các Bộ: Công nghiệp, Tài chính, Bộ Kế hoạch và Đầu tư, Bộ trưởng, Trưởng Ban Tổ chức - Cán bộ Chính phủ, Chủ tịch Ủy ban nhân dân tỉnh Vĩnh Long, Chủ tịch Ủy ban nhân dân tỉnh Đồng Tháp và Chủ tịch Hội đồng quản trị Tổng công ty Thuốc lá Việt Nam chịu trách nhiệm thi hành Quyết định này.</w:t>
      </w:r>
      <w:r>
        <w:rPr>
          <w:b w:val="0"/>
          <w:i w:val="0"/>
        </w:rPr>
        <w:br/>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