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157/2004/QĐ-BCN Về việc chuyển Công ty Nhựa Rạng Đông thành Công ty cổ phần Nhựa Rạng Đông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157/2004/QĐ-BCN</w:t>
        <w:br/>
        <w:t xml:space="preserve">     </w:t>
      </w:r>
      <w:r>
        <w:rPr>
          <w:b w:val="0"/>
          <w:i w:val="0"/>
        </w:rPr>
        <w:br/>
      </w:r>
      <w:r>
        <w:rPr>
          <w:b w:val="0"/>
          <w:i/>
        </w:rPr>
        <w:br/>
        <w:t xml:space="preserve">      Hà Nội, ngày 06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157/2004/QĐ-BCN</w:t>
        <w:br/>
        <w:t xml:space="preserve">     </w:t>
      </w:r>
      <w:r>
        <w:rPr>
          <w:b w:val="0"/>
          <w:i w:val="0"/>
        </w:rPr>
        <w:br/>
      </w:r>
      <w:r>
        <w:rPr>
          <w:b w:val="0"/>
          <w:i/>
        </w:rPr>
        <w:br/>
        <w:t xml:space="preserve">      Hà Nội, ngày 06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157/2004/QĐ-BCN</w:t>
        <w:br/>
        <w:t xml:space="preserve">     </w:t>
      </w:r>
      <w:r>
        <w:rPr>
          <w:b w:val="0"/>
          <w:i w:val="0"/>
        </w:rPr>
        <w:br/>
      </w:r>
      <w:r>
        <w:rPr>
          <w:b w:val="0"/>
          <w:i/>
        </w:rPr>
        <w:br/>
        <w:t xml:space="preserve">      Hà Nội, ngày 06 tháng 12 năm 2004</w:t>
        <w:br/>
        <w:t xml:space="preserve">     </w:t>
      </w:r>
      <w:r>
        <w:rPr>
          <w:b w:val="0"/>
          <w:i w:val="0"/>
        </w:rPr>
        <w:br/>
      </w:r>
    </w:p>
    <w:p>
      <w:pPr>
        <w:jc w:val="center"/>
      </w:pPr>
      <w:r>
        <w:rPr>
          <w:b w:val="0"/>
          <w:i w:val="0"/>
        </w:rPr>
        <w:br/>
        <w:t xml:space="preserve">      Số: 157/2004/QĐ-BCN</w:t>
        <w:br/>
        <w:t xml:space="preserve">     </w:t>
      </w:r>
    </w:p>
    <w:p>
      <w:pPr>
        <w:jc w:val="center"/>
      </w:pPr>
      <w:r>
        <w:rPr>
          <w:b w:val="0"/>
          <w:i w:val="0"/>
        </w:rPr>
        <w:br/>
        <w:t xml:space="preserve">      Hà Nội, ngày 06 tháng 12 năm 2004</w:t>
        <w:br/>
        <w:t xml:space="preserve">     </w:t>
      </w:r>
    </w:p>
    <w:p>
      <w:pPr>
        <w:jc w:val="center"/>
      </w:pPr>
      <w:r>
        <w:rPr>
          <w:b/>
          <w:i w:val="0"/>
        </w:rPr>
        <w:t>QUYẾT ĐỊNH</w:t>
      </w:r>
    </w:p>
    <w:p>
      <w:r>
        <w:rPr>
          <w:b/>
          <w:i/>
        </w:rPr>
        <w:t>Về việc chuyển Công ty Nhựa Rạng Đông</w:t>
      </w:r>
    </w:p>
    <w:p>
      <w:r>
        <w:rPr>
          <w:b/>
          <w:i/>
        </w:rPr>
        <w:t xml:space="preserve"> thành Công ty cổ phần Nhựa </w:t>
      </w:r>
      <w:r>
        <w:rPr>
          <w:b/>
          <w:i/>
        </w:rPr>
        <w:t>Rạng Đông</w:t>
      </w:r>
    </w:p>
    <w:p>
      <w:pPr>
        <w:jc w:val="center"/>
      </w:pPr>
      <w:r>
        <w:rPr>
          <w:b w:val="0"/>
          <w:i w:val="0"/>
        </w:rPr>
        <w:t xml:space="preserve">____________ </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Nhựa Rạng Đông (Công văn số 582/CV-HCTH ngày 14 tháng 11 năm 2004), Phương án cổ phần hoá Công ty Nhựa Rạng Đông và Biên bản thẩm định Phương án của Ban Đổi mới và Phát triển doanh nghiệp Bộ ngày 18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Nhựa Rạng Đông (doanh nghiệp trực thuộc Bộ Công nghiệp) gồm những điểm chính như sau:</w:t>
      </w:r>
    </w:p>
    <w:p>
      <w:r>
        <w:rPr>
          <w:b w:val="0"/>
          <w:i w:val="0"/>
        </w:rPr>
        <w:t>1. Cơ cấu vốn điều lệ:</w:t>
      </w:r>
    </w:p>
    <w:p>
      <w:r>
        <w:rPr>
          <w:b w:val="0"/>
          <w:i w:val="0"/>
        </w:rPr>
        <w:t>Vốn điều lệ của Công ty cổ phần là 90.000.000.000 đồng (Chín mươi tỷ đồng chẵn). Trong đó:</w:t>
      </w:r>
    </w:p>
    <w:p>
      <w:r>
        <w:rPr>
          <w:b w:val="0"/>
          <w:i w:val="0"/>
        </w:rPr>
        <w:t>- Tỷ lệ cổ phần của Nhà nước : 51,00 %;</w:t>
      </w:r>
    </w:p>
    <w:p>
      <w:r>
        <w:rPr>
          <w:b w:val="0"/>
          <w:i w:val="0"/>
        </w:rPr>
        <w:t>- Tỷ lệ cổ phần bán cho người lao động trong Công ty : 37,40%;</w:t>
      </w:r>
    </w:p>
    <w:p>
      <w:r>
        <w:rPr>
          <w:b w:val="0"/>
          <w:i w:val="0"/>
        </w:rPr>
        <w:t>- Tỷ lệ cổ phần bán ra ngoài doanh nghiệp : 11,60 %.</w:t>
      </w:r>
    </w:p>
    <w:p>
      <w:r>
        <w:rPr>
          <w:b w:val="0"/>
          <w:i w:val="0"/>
        </w:rPr>
        <w:t>Trị giá một cổ phần : 100.000 đồng.</w:t>
      </w:r>
    </w:p>
    <w:p>
      <w:r>
        <w:rPr>
          <w:b w:val="0"/>
          <w:i w:val="0"/>
        </w:rPr>
        <w:t>2. Giá trị thực tế của Công ty Nhựa Rạng Đông tại thời điểm ngày 30 tháng 9 năm 2004 để cổ phần hoá (Quyết định số 2913/QĐ-TCKT ngày 03 tháng 11 năm 2004 của Bộ Công nghiệp) là 195.047.806.802 đồng. Trong đó, giá trị thực tế phần vốn Nhà nước tại Công ty là 69.789.608.569 đồng.</w:t>
      </w:r>
    </w:p>
    <w:p>
      <w:r>
        <w:rPr>
          <w:b w:val="0"/>
          <w:i w:val="0"/>
        </w:rPr>
        <w:t>3. Ưu đãi cho người lao động trong Công ty.</w:t>
      </w:r>
    </w:p>
    <w:p>
      <w:r>
        <w:rPr>
          <w:b w:val="0"/>
          <w:i w:val="0"/>
        </w:rPr>
        <w:t>Tổng số cổ phần bán ưu đãi cho 691 lao động trong Công ty là 91.460 cổ phần với giá trị được ưu đãi là 2.743.800.000 đồng. Trong đó, bán ưu đãi trả chậm cho 116 lao động nghèo là 18.290 cổ phần, trị giá 1.280.300.000 đồng.</w:t>
      </w:r>
    </w:p>
    <w:p>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p>
    <w:p>
      <w:r>
        <w:rPr>
          <w:b/>
          <w:i w:val="0"/>
        </w:rPr>
        <w:t xml:space="preserve">Điều 2. </w:t>
      </w:r>
      <w:r>
        <w:rPr>
          <w:b w:val="0"/>
          <w:i w:val="0"/>
        </w:rPr>
        <w:t>Chuyển Công ty Nhựa Rạng Đông thành Công ty cổ phần Nhựa Rạng Đông,</w:t>
      </w:r>
    </w:p>
    <w:p>
      <w:r>
        <w:rPr>
          <w:b w:val="0"/>
          <w:i w:val="0"/>
        </w:rPr>
        <w:t>- Tên giao dịch quốc tế: RANGDONG PLASTIC JOINT STOCK COMPANY;</w:t>
      </w:r>
    </w:p>
    <w:p>
      <w:r>
        <w:rPr>
          <w:b w:val="0"/>
          <w:i w:val="0"/>
        </w:rPr>
        <w:t>- Tên viết tắt: RANGDONG PLASTIC;</w:t>
      </w:r>
    </w:p>
    <w:p>
      <w:r>
        <w:rPr>
          <w:b w:val="0"/>
          <w:i w:val="0"/>
        </w:rPr>
        <w:t>- Trụ sở chính: số 190 Lạc Long Quân, phường 3, quận 11, Thành phố Hồ Chí Minh.</w:t>
      </w:r>
    </w:p>
    <w:p>
      <w:r>
        <w:rPr>
          <w:b/>
          <w:i w:val="0"/>
        </w:rPr>
        <w:t xml:space="preserve">Điều 3. </w:t>
      </w:r>
      <w:r>
        <w:rPr>
          <w:b w:val="0"/>
          <w:i w:val="0"/>
        </w:rPr>
        <w:t>Công ty cổ phần kinh doanh các ngành nghề:</w:t>
      </w:r>
    </w:p>
    <w:p>
      <w:r>
        <w:rPr>
          <w:b w:val="0"/>
          <w:i w:val="0"/>
        </w:rPr>
        <w:t>- Sản xuất và kinh doanh các mặt hàng nhựa gia dụng, kỹ thuật: màng nhựa; giả da; tôn, ván nhựa; ống nhựa; bao bì in, tráng, ghép; vật liệu nhựa xây dựng; chai nhựa; áo mưa; cặp, túi xách;</w:t>
      </w:r>
    </w:p>
    <w:p>
      <w:r>
        <w:rPr>
          <w:b w:val="0"/>
          <w:i w:val="0"/>
        </w:rPr>
        <w:t>- Thiết kế, chế tạo máy móc, thiết bị ngành nhựa;</w:t>
      </w:r>
    </w:p>
    <w:p>
      <w:r>
        <w:rPr>
          <w:b w:val="0"/>
          <w:i w:val="0"/>
        </w:rPr>
        <w:t>- Kinh doanh, xuất nhập khẩu tổng hợp; kinh doanh xây dựng dân dụng và công nghiệp; san lấp mặt bằng; cho thuê văn phòng; cho thuê kho bãi, máy móc, thiết bị; kinh doanh khách sạn, ăn uống, dịch vụ, thương mại tổng hợp;</w:t>
      </w:r>
    </w:p>
    <w:p>
      <w:r>
        <w:rPr>
          <w:b w:val="0"/>
          <w:i w:val="0"/>
        </w:rPr>
        <w:t>- Tổ chức hội thảo, tư vấn, đào đạo công nhân kỹ thuật;</w:t>
      </w:r>
    </w:p>
    <w:p>
      <w:r>
        <w:rPr>
          <w:b w:val="0"/>
          <w:i w:val="0"/>
        </w:rPr>
        <w:t>- Kinh doanh các ngành nghề khác phù hợp với quy định của pháp luật.</w:t>
      </w:r>
    </w:p>
    <w:p>
      <w:r>
        <w:rPr>
          <w:b/>
          <w:i w:val="0"/>
        </w:rPr>
        <w:t xml:space="preserve">Điều 4. </w:t>
      </w:r>
      <w:r>
        <w:rPr>
          <w:b w:val="0"/>
          <w:i w:val="0"/>
        </w:rPr>
        <w:t>Công ty cổ phần Nhựa Rạng Đông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Công ty Nhựa Rạng Đông tổ chức bán đấu giá cổ phần ra ngoài theo quy định hiện hành và tổ chức Đại hội đồng cổ đông lần đầu Công ty cổ phần Nhựa Rạng Đông theo đúng quy định của pháp luật.</w:t>
      </w:r>
    </w:p>
    <w:p>
      <w:r>
        <w:rPr>
          <w:b w:val="0"/>
          <w:i w:val="0"/>
        </w:rPr>
        <w:t>Công ty cổ phần Nhựa Rạng Đông kế thừa các quyền và nghĩa vụ đối với phần vốn góp cổ phần của Công ty Nhựa Rạng Đông trong Công ty cổ phần Nhựa Nha Trang.</w:t>
      </w:r>
    </w:p>
    <w:p>
      <w:r>
        <w:rPr>
          <w:b w:val="0"/>
          <w:i w:val="0"/>
        </w:rPr>
        <w:t>Tổng giám đốc và Kế toán trưởng Công ty Nhựa Rạng Đông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Nhựa Rạng Đông và Chủ tịch Hội đồng quản trị, Tổng giám đốc Công ty cổ phần Nhựa Rạng Đông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