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1586/QĐ-BNN-PC Về việc điều chỉnh Kế hoạch xây dựng văn bản quy phạm pháp luật của Bộ Nông nghiệp và Phát triển nông thôn 6 tháng cuối năm 2013</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1586/QĐ-BNN-PC</w:t>
        <w:br/>
        <w:t xml:space="preserve">    </w:t>
      </w:r>
      <w:r>
        <w:rPr>
          <w:b w:val="0"/>
          <w:i w:val="0"/>
        </w:rPr>
        <w:br/>
      </w:r>
      <w:r>
        <w:rPr>
          <w:b w:val="0"/>
          <w:i/>
        </w:rPr>
        <w:br/>
        <w:t xml:space="preserve">     Hà Nội, ngày 9 tháng 7 năm 2013</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1586/QĐ-BNN-PC</w:t>
        <w:br/>
        <w:t xml:space="preserve">    </w:t>
      </w:r>
      <w:r>
        <w:rPr>
          <w:b w:val="0"/>
          <w:i w:val="0"/>
        </w:rPr>
        <w:br/>
      </w:r>
      <w:r>
        <w:rPr>
          <w:b w:val="0"/>
          <w:i/>
        </w:rPr>
        <w:br/>
        <w:t xml:space="preserve">     Hà Nội, ngày 9 tháng 7 năm 2013</w:t>
        <w:br/>
        <w:t xml:space="preserve">    </w:t>
      </w:r>
      <w:r>
        <w:rPr>
          <w:b w:val="0"/>
          <w:i w:val="0"/>
        </w:rPr>
        <w:br/>
      </w:r>
    </w:p>
    <w:p>
      <w:pPr>
        <w:jc w:val="center"/>
      </w:pPr>
      <w:r>
        <w:rPr>
          <w:b w:val="0"/>
          <w:i w:val="0"/>
        </w:rPr>
        <w:br/>
        <w:t xml:space="preserve">     Số: 1586/QĐ-BNN-PC</w:t>
        <w:br/>
        <w:t xml:space="preserve">    </w:t>
      </w:r>
    </w:p>
    <w:p>
      <w:pPr>
        <w:jc w:val="center"/>
      </w:pPr>
      <w:r>
        <w:rPr>
          <w:b w:val="0"/>
          <w:i w:val="0"/>
        </w:rPr>
        <w:br/>
        <w:t xml:space="preserve">     Hà Nội, ngày 9 tháng 7 năm 2013</w:t>
        <w:br/>
        <w:t xml:space="preserve">    </w:t>
      </w:r>
    </w:p>
    <w:p>
      <w:r>
        <w:rPr>
          <w:b/>
          <w:i w:val="0"/>
        </w:rPr>
        <w:t>QUYẾT ĐỊNH</w:t>
      </w:r>
    </w:p>
    <w:p>
      <w:r>
        <w:rPr>
          <w:b/>
          <w:i w:val="0"/>
        </w:rPr>
        <w:t xml:space="preserve">Về việc điều chỉnh Kế hoạch xây dựng văn bản quy phạm pháp luật của Bộ </w:t>
      </w:r>
    </w:p>
    <w:p>
      <w:r>
        <w:rPr>
          <w:b/>
          <w:i w:val="0"/>
        </w:rPr>
        <w:t>Nông nghiệp và Phát triển nông thôn 6 tháng cuối năm 2013</w:t>
      </w:r>
    </w:p>
    <w:p>
      <w:r>
        <w:rPr>
          <w:b w:val="0"/>
          <w:i w:val="0"/>
        </w:rPr>
        <w:t>_________________</w:t>
      </w:r>
    </w:p>
    <w:p>
      <w:r>
        <w:rPr>
          <w:b/>
          <w:i w:val="0"/>
        </w:rPr>
        <w:t>BỘ TRƯỞNG BỘ NÔNG NGHIỆP VÀ PHÁT TRIỂN NÔNG THÔN</w:t>
      </w:r>
    </w:p>
    <w:p>
      <w:r>
        <w:rPr>
          <w:b w:val="0"/>
          <w:i/>
        </w:rPr>
        <w:t>Căn cứ Nghị định số 01/2008/NĐ-CP ngày 03 tháng 01 năm 2008 của Chính phủ quy định chức năng, nhiệm vụ, quyền hạn và cơ cấu tổ chức của Bộ Nông nghiệp và Phát triển nông thôn; Nghị định số 75/2009/NĐ-CP ngày 10 tháng 9 năm 2009 của Chính phủ về việc sửa đổi Điều 3, Nghị định số 01/2008/NĐ-CP ngày 03 tháng 01 năm 2008;</w:t>
      </w:r>
    </w:p>
    <w:p>
      <w:r>
        <w:rPr>
          <w:b w:val="0"/>
          <w:i/>
        </w:rPr>
        <w:t>Căn cứ Luật Ban hành văn bản quy phạm pháp luật năm 2008;</w:t>
      </w:r>
    </w:p>
    <w:p>
      <w:r>
        <w:rPr>
          <w:b w:val="0"/>
          <w:i/>
        </w:rPr>
        <w:t>Căn cứ Nghị định số 24/2009/NĐ-CP ngày 05 tháng 3 năm 2009 của Chính phủ quy định chi tiết và biện pháp thi hành Luật Ban hành văn bản quy phạm pháp luật;</w:t>
      </w:r>
    </w:p>
    <w:p>
      <w:r>
        <w:rPr>
          <w:b w:val="0"/>
          <w:i/>
        </w:rPr>
        <w:t>Theo đề nghị của Thủ trưởng các đơn vị và Vụ trưởng Vụ Pháp chế,</w:t>
      </w:r>
    </w:p>
    <w:p>
      <w:r>
        <w:rPr>
          <w:b/>
          <w:i w:val="0"/>
        </w:rPr>
        <w:t>QUYẾT ĐỊNH:</w:t>
      </w:r>
    </w:p>
    <w:p>
      <w:r>
        <w:rPr>
          <w:b/>
          <w:i w:val="0"/>
        </w:rPr>
        <w:t xml:space="preserve">Điều 1. </w:t>
      </w:r>
      <w:r>
        <w:rPr>
          <w:b w:val="0"/>
          <w:i w:val="0"/>
        </w:rPr>
        <w:t>Ban hành kèm theo Quyết định này "Kế hoạch xây dựng văn bản quy phạm pháp luật sáu tháng cuối năm 2013 của Bộ Nông nghiệp và Phát triển nông thôn".</w:t>
      </w:r>
    </w:p>
    <w:p>
      <w:r>
        <w:rPr>
          <w:b/>
          <w:i w:val="0"/>
        </w:rPr>
        <w:t xml:space="preserve">Điều 2. </w:t>
      </w:r>
      <w:r>
        <w:rPr>
          <w:b w:val="0"/>
          <w:i w:val="0"/>
        </w:rPr>
        <w:t>Kinh phí xây dựng văn bản quy phạm pháp luật thực hiện theo Thông tư liên tịch số 192/2010/TTLT-BTC-BTP-VPCP ngày 02 tháng 12 năm 2010 của liên Bộ Tài chính, Tư pháp và Văn phòng Chính phủ hướng dẫn lập dự toán, quản lý, sử dụng và quyết toán kinh phí ngân sách nhà nước bảo đảm cho công tác xây dựng văn bản quy phạm pháp luật và hoàn thiện hệ thống pháp luật.</w:t>
      </w:r>
    </w:p>
    <w:p>
      <w:r>
        <w:rPr>
          <w:b/>
          <w:i w:val="0"/>
        </w:rPr>
        <w:t xml:space="preserve">Điều 3. </w:t>
      </w:r>
      <w:r>
        <w:rPr>
          <w:b w:val="0"/>
          <w:i w:val="0"/>
        </w:rPr>
        <w:t>Quyết định này có hiệu lực thi hành kể từ ngày ký ban hành, thay thế Quyết định số 566/QĐ-BNN-PC ngày 19/03/2013 về việc phê duyệt kế hoạch xây dựng văn bản quy phạm pháp luật năm 2013 của Bộ Nông nghiệp và Phát triển nông thôn.</w:t>
      </w:r>
    </w:p>
    <w:p>
      <w:r>
        <w:rPr>
          <w:b/>
          <w:i w:val="0"/>
        </w:rPr>
        <w:t xml:space="preserve">Điều 4. </w:t>
      </w:r>
      <w:r>
        <w:rPr>
          <w:b w:val="0"/>
          <w:i w:val="0"/>
        </w:rPr>
        <w:t>Chánh Văn phòng Bộ, Tổng Cục trưởng, Cục trưởng các Tổng cục, Cục thuộc Bộ, Vụ trưởng Vụ Pháp chế, Vụ trưởng Vụ Tài chính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i w:val="0"/>
              </w:rPr>
              <w:t>Cao Đức Phát</w:t>
            </w:r>
          </w:p>
        </w:tc>
      </w:tr>
    </w:tbl>
    <w:p>
      <w:r>
        <w:rPr>
          <w:b/>
          <w:i w:val="0"/>
        </w:rPr>
        <w:t>KẾ HOẠCH</w:t>
      </w:r>
    </w:p>
    <w:p>
      <w:r>
        <w:rPr>
          <w:b/>
          <w:i w:val="0"/>
        </w:rPr>
        <w:t>Xây dựng văn bản quy phạm pháp luật 6 tháng cuối năm 2013</w:t>
      </w:r>
    </w:p>
    <w:p>
      <w:r>
        <w:rPr>
          <w:b w:val="0"/>
          <w:i/>
        </w:rPr>
        <w:t>(Ban hành kèm theo Quyết định số 1586/QĐ-BNN-PC ngày 09 tháng 7 năm 2013 của Bộ trưởng Bộ Nông nghiệp và Phát triển nông thôn)</w:t>
      </w:r>
    </w:p>
    <w:p>
      <w:r>
        <w:rPr>
          <w:b w:val="0"/>
          <w:i w:val="0"/>
        </w:rPr>
        <w:t>___________________</w:t>
      </w:r>
    </w:p>
    <w:p>
      <w:r>
        <w:rPr>
          <w:b/>
          <w:i w:val="0"/>
        </w:rPr>
        <w:t>I. CHƯƠNG TRÌNH XÂY DỰNG LUẬT (04 Dự án luật)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văn bản</w:t>
            </w:r>
          </w:p>
        </w:tc>
        <w:tc>
          <w:tcPr>
            <w:tcW w:type="dxa" w:w="1440"/>
          </w:tcPr>
          <w:p>
            <w:r>
              <w:rPr>
                <w:b w:val="0"/>
                <w:i w:val="0"/>
              </w:rPr>
              <w:br/>
            </w:r>
            <w:r>
              <w:rPr>
                <w:b/>
                <w:i w:val="0"/>
              </w:rPr>
              <w:t>Đơn vị chủ trì</w:t>
            </w:r>
          </w:p>
        </w:tc>
        <w:tc>
          <w:tcPr>
            <w:tcW w:type="dxa" w:w="1440"/>
          </w:tcPr>
          <w:p>
            <w:r>
              <w:rPr>
                <w:b w:val="0"/>
                <w:i w:val="0"/>
              </w:rPr>
              <w:br/>
            </w:r>
            <w:r>
              <w:rPr>
                <w:b/>
                <w:i w:val="0"/>
              </w:rPr>
              <w:t>Thời gian trình Chính phủ</w:t>
            </w:r>
          </w:p>
        </w:tc>
        <w:tc>
          <w:tcPr>
            <w:tcW w:type="dxa" w:w="1440"/>
          </w:tcPr>
          <w:p>
            <w:r>
              <w:rPr>
                <w:b w:val="0"/>
                <w:i w:val="0"/>
              </w:rPr>
              <w:br/>
            </w:r>
            <w:r>
              <w:rPr>
                <w:b/>
                <w:i w:val="0"/>
              </w:rPr>
              <w:t>Thời gian trình Quốc hội cho ý kiến</w:t>
            </w:r>
          </w:p>
        </w:tc>
        <w:tc>
          <w:tcPr>
            <w:tcW w:type="dxa" w:w="1440"/>
          </w:tcPr>
          <w:p>
            <w:r>
              <w:rPr>
                <w:b w:val="0"/>
                <w:i w:val="0"/>
              </w:rPr>
              <w:br/>
            </w:r>
            <w:r>
              <w:rPr>
                <w:b/>
                <w:i w:val="0"/>
              </w:rPr>
              <w:t>Thời gian trình Quốc hội thông qua</w:t>
            </w:r>
          </w:p>
        </w:tc>
      </w:tr>
    </w:tbl>
    <w:p>
      <w:r>
        <w:rPr>
          <w:b/>
          <w:i w:val="0"/>
        </w:rPr>
        <w:t>II. CHƯƠNG TRÌNH XÂY DỰNG VĂN BẢN QPPL TRÌNH CHÍNH PHỦ, THỦ TƯỚNG CHÍNH PHỦ</w:t>
      </w:r>
    </w:p>
    <w:p>
      <w:r>
        <w:rPr>
          <w:b/>
          <w:i w:val="0"/>
        </w:rPr>
        <w:t>1. CHƯƠNG TRÌNH CHÍNH THỨC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văn bản</w:t>
            </w:r>
          </w:p>
        </w:tc>
        <w:tc>
          <w:tcPr>
            <w:tcW w:type="dxa" w:w="1728"/>
          </w:tcPr>
          <w:p>
            <w:r>
              <w:rPr>
                <w:b w:val="0"/>
                <w:i w:val="0"/>
              </w:rPr>
              <w:br/>
            </w:r>
            <w:r>
              <w:rPr>
                <w:b/>
                <w:i w:val="0"/>
              </w:rPr>
              <w:t>Đơn vị chủ trì</w:t>
            </w:r>
          </w:p>
        </w:tc>
        <w:tc>
          <w:tcPr>
            <w:tcW w:type="dxa" w:w="1728"/>
          </w:tcPr>
          <w:p>
            <w:r>
              <w:rPr>
                <w:b w:val="0"/>
                <w:i w:val="0"/>
              </w:rPr>
              <w:br/>
            </w:r>
            <w:r>
              <w:rPr>
                <w:b/>
                <w:i w:val="0"/>
              </w:rPr>
              <w:t>Thời gian trình</w:t>
            </w:r>
          </w:p>
        </w:tc>
        <w:tc>
          <w:tcPr>
            <w:tcW w:type="dxa" w:w="1728"/>
          </w:tcPr>
          <w:p>
            <w:r>
              <w:rPr>
                <w:b w:val="0"/>
                <w:i w:val="0"/>
              </w:rPr>
              <w:br/>
            </w:r>
            <w:r>
              <w:rPr>
                <w:b/>
                <w:i w:val="0"/>
              </w:rPr>
              <w:t>Ghi chú</w:t>
            </w:r>
          </w:p>
        </w:tc>
      </w:tr>
    </w:tbl>
    <w:p>
      <w:r>
        <w:rPr>
          <w:b/>
          <w:i w:val="0"/>
        </w:rPr>
        <w:t>2. CHƯƠNG TRÌNH CHUẨN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văn bản</w:t>
            </w:r>
          </w:p>
        </w:tc>
        <w:tc>
          <w:tcPr>
            <w:tcW w:type="dxa" w:w="1728"/>
          </w:tcPr>
          <w:p>
            <w:r>
              <w:rPr>
                <w:b w:val="0"/>
                <w:i w:val="0"/>
              </w:rPr>
              <w:br/>
            </w:r>
            <w:r>
              <w:rPr>
                <w:b/>
                <w:i w:val="0"/>
              </w:rPr>
              <w:t>Đơn vị chủ trì</w:t>
            </w:r>
          </w:p>
        </w:tc>
        <w:tc>
          <w:tcPr>
            <w:tcW w:type="dxa" w:w="1728"/>
          </w:tcPr>
          <w:p>
            <w:r>
              <w:rPr>
                <w:b w:val="0"/>
                <w:i w:val="0"/>
              </w:rPr>
              <w:br/>
            </w:r>
            <w:r>
              <w:rPr>
                <w:b/>
                <w:i w:val="0"/>
              </w:rPr>
              <w:t>Thời gian trình</w:t>
            </w:r>
          </w:p>
        </w:tc>
        <w:tc>
          <w:tcPr>
            <w:tcW w:type="dxa" w:w="1728"/>
          </w:tcPr>
          <w:p>
            <w:r>
              <w:rPr>
                <w:b w:val="0"/>
                <w:i w:val="0"/>
              </w:rPr>
              <w:br/>
            </w:r>
            <w:r>
              <w:rPr>
                <w:b/>
                <w:i w:val="0"/>
              </w:rPr>
              <w:t>Ghi chú</w:t>
            </w:r>
          </w:p>
        </w:tc>
      </w:tr>
    </w:tbl>
    <w:p>
      <w:r>
        <w:rPr>
          <w:b/>
          <w:i w:val="0"/>
        </w:rPr>
        <w:t>III. CHƯƠNG TRÌNH XÂY DỰNG THÔNG TƯ CỦA BỘ TRƯỞNG BỘ NÔNG NGHIỆP VÀ PHÁT TRIỂN NÔNG THÔN</w:t>
      </w:r>
    </w:p>
    <w:p>
      <w:r>
        <w:rPr>
          <w:b/>
          <w:i w:val="0"/>
        </w:rPr>
        <w:t>1. CHƯƠNG TRÌNH CHÍNH THỨC (51 văn bản)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văn bản</w:t>
            </w:r>
          </w:p>
        </w:tc>
        <w:tc>
          <w:tcPr>
            <w:tcW w:type="dxa" w:w="1728"/>
          </w:tcPr>
          <w:p>
            <w:r>
              <w:rPr>
                <w:b w:val="0"/>
                <w:i w:val="0"/>
              </w:rPr>
              <w:br/>
            </w:r>
            <w:r>
              <w:rPr>
                <w:b/>
                <w:i w:val="0"/>
              </w:rPr>
              <w:t>Đơn vị chủ trì</w:t>
            </w:r>
          </w:p>
        </w:tc>
        <w:tc>
          <w:tcPr>
            <w:tcW w:type="dxa" w:w="1728"/>
          </w:tcPr>
          <w:p>
            <w:r>
              <w:rPr>
                <w:b w:val="0"/>
                <w:i w:val="0"/>
              </w:rPr>
              <w:br/>
            </w:r>
            <w:r>
              <w:rPr>
                <w:b/>
                <w:i w:val="0"/>
              </w:rPr>
              <w:t>Thời gian trình</w:t>
            </w:r>
          </w:p>
        </w:tc>
        <w:tc>
          <w:tcPr>
            <w:tcW w:type="dxa" w:w="1728"/>
          </w:tcPr>
          <w:p>
            <w:r>
              <w:rPr>
                <w:b w:val="0"/>
                <w:i w:val="0"/>
              </w:rPr>
              <w:br/>
            </w:r>
            <w:r>
              <w:rPr>
                <w:b/>
                <w:i w:val="0"/>
              </w:rPr>
              <w:t>Ghi chú</w:t>
            </w:r>
          </w:p>
        </w:tc>
      </w:tr>
    </w:tbl>
    <w:p>
      <w:r>
        <w:rPr>
          <w:b/>
          <w:i w:val="0"/>
        </w:rPr>
        <w:t>2. CHƯƠNG TRÌNH CHUẨN BỊ (25 văn bản)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văn bản</w:t>
            </w:r>
          </w:p>
        </w:tc>
        <w:tc>
          <w:tcPr>
            <w:tcW w:type="dxa" w:w="1728"/>
          </w:tcPr>
          <w:p>
            <w:r>
              <w:rPr>
                <w:b w:val="0"/>
                <w:i w:val="0"/>
              </w:rPr>
              <w:br/>
            </w:r>
            <w:r>
              <w:rPr>
                <w:b/>
                <w:i w:val="0"/>
              </w:rPr>
              <w:t>Đơn vị chủ trì</w:t>
            </w:r>
          </w:p>
        </w:tc>
        <w:tc>
          <w:tcPr>
            <w:tcW w:type="dxa" w:w="1728"/>
          </w:tcPr>
          <w:p>
            <w:r>
              <w:rPr>
                <w:b w:val="0"/>
                <w:i w:val="0"/>
              </w:rPr>
              <w:br/>
            </w:r>
            <w:r>
              <w:rPr>
                <w:b/>
                <w:i w:val="0"/>
              </w:rPr>
              <w:t>Thời gian trình</w:t>
            </w:r>
          </w:p>
        </w:tc>
        <w:tc>
          <w:tcPr>
            <w:tcW w:type="dxa" w:w="1728"/>
          </w:tcPr>
          <w:p>
            <w:r>
              <w:rPr>
                <w:b w:val="0"/>
                <w:i w:val="0"/>
              </w:rPr>
              <w:br/>
            </w:r>
            <w:r>
              <w:rPr>
                <w:b/>
                <w:i w:val="0"/>
              </w:rPr>
              <w:t>Ghi chú</w:t>
            </w:r>
          </w:p>
        </w:tc>
      </w:tr>
    </w:tbl>
    <w:p>
      <w:r>
        <w:rPr>
          <w:b w:val="0"/>
          <w:i/>
        </w:rPr>
        <w:t>(</w:t>
      </w:r>
      <w:r>
        <w:rPr>
          <w:b/>
          <w:i/>
        </w:rPr>
        <w:t>Ghi chú:</w:t>
      </w:r>
      <w:r>
        <w:rPr>
          <w:b w:val="0"/>
          <w:i/>
        </w:rPr>
        <w:t xml:space="preserve"> Các văn bản trong chương trình chuẩn bị, nếu chuẩn bị tốt về nội dung và đảm bảo trình tự thủ tục quy định tại Luật ban hành văn bản QPPL thì có công văn đề nghị Bộ để bổ sung vào chương trình xây dựng văn bản QPPL năm 2013 của Chính phủ, của Bộ)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