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159/2003/QĐ-BCN Về việc sáp nhập công ty điện tử công trình vào công ty điện tử đống đa, Tổng công ty Điện tử và Tin học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159/2003/QĐ-BCN</w:t>
        <w:br/>
        <w:t xml:space="preserve">     </w:t>
      </w:r>
      <w:r>
        <w:rPr>
          <w:b w:val="0"/>
          <w:i w:val="0"/>
        </w:rPr>
        <w:br/>
      </w:r>
      <w:r>
        <w:rPr>
          <w:b w:val="0"/>
          <w:i/>
        </w:rPr>
        <w:br/>
        <w:t xml:space="preserve">      Hà Nội, ngày 6 tháng 10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159/2003/QĐ-BCN</w:t>
        <w:br/>
        <w:t xml:space="preserve">     </w:t>
      </w:r>
      <w:r>
        <w:rPr>
          <w:b w:val="0"/>
          <w:i w:val="0"/>
        </w:rPr>
        <w:br/>
      </w:r>
      <w:r>
        <w:rPr>
          <w:b w:val="0"/>
          <w:i/>
        </w:rPr>
        <w:br/>
        <w:t xml:space="preserve">      Hà Nội, ngày 6 tháng 10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159/2003/QĐ-BCN</w:t>
        <w:br/>
        <w:t xml:space="preserve">     </w:t>
      </w:r>
      <w:r>
        <w:rPr>
          <w:b w:val="0"/>
          <w:i w:val="0"/>
        </w:rPr>
        <w:br/>
      </w:r>
      <w:r>
        <w:rPr>
          <w:b w:val="0"/>
          <w:i/>
        </w:rPr>
        <w:br/>
        <w:t xml:space="preserve">      Hà Nội, ngày 6 tháng 10 năm 2003</w:t>
        <w:br/>
        <w:t xml:space="preserve">     </w:t>
      </w:r>
      <w:r>
        <w:rPr>
          <w:b w:val="0"/>
          <w:i w:val="0"/>
        </w:rPr>
        <w:br/>
      </w:r>
    </w:p>
    <w:p>
      <w:pPr>
        <w:jc w:val="center"/>
      </w:pPr>
      <w:r>
        <w:rPr>
          <w:b w:val="0"/>
          <w:i w:val="0"/>
        </w:rPr>
        <w:br/>
        <w:t xml:space="preserve">      Số: 159/2003/QĐ-BCN</w:t>
        <w:br/>
        <w:t xml:space="preserve">     </w:t>
      </w:r>
    </w:p>
    <w:p>
      <w:pPr>
        <w:jc w:val="center"/>
      </w:pPr>
      <w:r>
        <w:rPr>
          <w:b w:val="0"/>
          <w:i w:val="0"/>
        </w:rPr>
        <w:br/>
        <w:t xml:space="preserve">      Hà Nội, ngày 6 tháng 10 năm 2003</w:t>
        <w:br/>
        <w:t xml:space="preserve">     </w:t>
      </w:r>
    </w:p>
    <w:p>
      <w:r>
        <w:rPr>
          <w:b/>
          <w:i w:val="0"/>
        </w:rPr>
        <w:t>QUYẾT ĐỊNH</w:t>
      </w:r>
    </w:p>
    <w:p>
      <w:r>
        <w:rPr>
          <w:b/>
          <w:i w:val="0"/>
        </w:rPr>
        <w:t xml:space="preserve">Về việc sáp nhập công ty điện tử công trình vào công ty điện tử đống đa, </w:t>
      </w:r>
    </w:p>
    <w:p>
      <w:r>
        <w:rPr>
          <w:b/>
          <w:i w:val="0"/>
        </w:rPr>
        <w:t>Tổng công ty Điện tử và Tin học Việt Nam</w:t>
      </w:r>
    </w:p>
    <w:p>
      <w:r>
        <w:rPr>
          <w:b w:val="0"/>
          <w:i w:val="0"/>
        </w:rPr>
        <w:t>__________________________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w:t>
      </w:r>
      <w:r>
        <w:br/>
      </w:r>
      <w:r>
        <w:rPr>
          <w:b w:val="0"/>
          <w:i/>
        </w:rPr>
        <w:br/>
        <w:t xml:space="preserve">     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r>
        <w:br/>
      </w:r>
      <w:r>
        <w:rPr>
          <w:b w:val="0"/>
          <w:i/>
        </w:rPr>
        <w:br/>
        <w:t xml:space="preserve">     Xét đề nghị của Hội đồng quản trị Tổng công ty Điện tử và Tin học Việt Nam tại Tờ trình số 397 /ĐT-TCLĐ  ngày 21 tháng 7 năm 2003;</w:t>
      </w:r>
      <w:r>
        <w:br/>
      </w:r>
      <w:r>
        <w:rPr>
          <w:b w:val="0"/>
          <w:i/>
        </w:rPr>
        <w:br/>
        <w:t xml:space="preserve">     Theo đề nghị của Vụ trưởng Vụ Tổ chức-Cán bộ,  </w:t>
      </w:r>
    </w:p>
    <w:p>
      <w:r>
        <w:rPr>
          <w:b/>
          <w:i w:val="0"/>
        </w:rPr>
        <w:t>QUYẾT ĐỊNH:</w:t>
      </w:r>
    </w:p>
    <w:p>
      <w:pPr>
        <w:jc w:val="both"/>
      </w:pPr>
      <w:r>
        <w:rPr>
          <w:b/>
          <w:i w:val="0"/>
        </w:rPr>
        <w:t xml:space="preserve">Điều 1. </w:t>
      </w:r>
      <w:r>
        <w:rPr>
          <w:b w:val="0"/>
          <w:i w:val="0"/>
        </w:rPr>
        <w:t>Sáp nhập Công ty Điện tử Công trình vào Công ty Điện tử Đống Đa, Tổng công ty Điện tử và Tin học Việt Nam.</w:t>
      </w:r>
    </w:p>
    <w:p>
      <w:pPr>
        <w:jc w:val="both"/>
      </w:pPr>
      <w:r>
        <w:rPr>
          <w:b/>
          <w:i w:val="0"/>
        </w:rPr>
        <w:t xml:space="preserve">Điều 2. </w:t>
      </w:r>
      <w:r>
        <w:rPr>
          <w:b w:val="0"/>
          <w:i w:val="0"/>
        </w:rPr>
        <w:t>Giao Hội đồng quản trị Tổng công ty Điện tử và Tin học Việt Nam tổ chức thực hiện việc sáp nhập theo đúng các quy định hiện hành của Nhà nước.</w:t>
      </w:r>
    </w:p>
    <w:p>
      <w:pPr>
        <w:jc w:val="both"/>
      </w:pPr>
      <w:r>
        <w:rPr>
          <w:b/>
          <w:i w:val="0"/>
        </w:rPr>
        <w:t xml:space="preserve">Điều 3. </w:t>
      </w:r>
      <w:r>
        <w:rPr>
          <w:b w:val="0"/>
          <w:i w:val="0"/>
        </w:rPr>
        <w:t>Quyết định này có hiệu lực thi hành sau 15 ngày, kể từ ngày đăng Công báo</w:t>
      </w:r>
      <w:r>
        <w:rPr>
          <w:b/>
          <w:i w:val="0"/>
        </w:rPr>
        <w:t>.</w:t>
      </w:r>
    </w:p>
    <w:p>
      <w:pPr>
        <w:jc w:val="both"/>
      </w:pPr>
      <w:r>
        <w:rPr>
          <w:b w:val="0"/>
          <w:i w:val="0"/>
        </w:rPr>
        <w:t>Chánh Văn phòng Bộ, Chánh Thanh tra Bộ, các Vụ trưởng, Cục trưởng thuộc Bộ, Chủ tịch Hội đồng quản trị và Tổng giám đốc Tổng công ty Điện tử và Tin học Việt Nam, Giám đốc Công ty Điện tử Công trình và Giám đốc Công ty Điện tử Đống Đa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