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159/2005/QĐ-TTg Về việc phê duyệt điều chỉnh phương án sắp xếp, đổi mới một số công ty nhà nước thuộc Uỷ ban nhân dân tỉnh Hải Dương</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159/2005/QĐ-TTg</w:t>
        <w:br/>
        <w:t xml:space="preserve">     </w:t>
      </w:r>
      <w:r>
        <w:rPr>
          <w:b w:val="0"/>
          <w:i w:val="0"/>
        </w:rPr>
        <w:br/>
      </w:r>
      <w:r>
        <w:rPr>
          <w:b w:val="0"/>
          <w:i/>
        </w:rPr>
        <w:br/>
      </w:r>
      <w:r>
        <w:rPr>
          <w:b w:val="0"/>
          <w:i/>
        </w:rPr>
        <w:t>Hà Nội, ngày 27 tháng 6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159/2005/QĐ-TTg</w:t>
        <w:br/>
        <w:t xml:space="preserve">     </w:t>
      </w:r>
      <w:r>
        <w:rPr>
          <w:b w:val="0"/>
          <w:i w:val="0"/>
        </w:rPr>
        <w:br/>
      </w:r>
      <w:r>
        <w:rPr>
          <w:b w:val="0"/>
          <w:i/>
        </w:rPr>
        <w:br/>
      </w:r>
      <w:r>
        <w:rPr>
          <w:b w:val="0"/>
          <w:i/>
        </w:rPr>
        <w:t>Hà Nội, ngày 27 tháng 6 năm 2005</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159/2005/QĐ-TTg</w:t>
        <w:br/>
        <w:t xml:space="preserve">     </w:t>
      </w:r>
      <w:r>
        <w:rPr>
          <w:b w:val="0"/>
          <w:i w:val="0"/>
        </w:rPr>
        <w:br/>
      </w:r>
      <w:r>
        <w:rPr>
          <w:b w:val="0"/>
          <w:i/>
        </w:rPr>
        <w:br/>
      </w:r>
      <w:r>
        <w:rPr>
          <w:b w:val="0"/>
          <w:i/>
        </w:rPr>
        <w:t>Hà Nội, ngày 27 tháng 6 năm 2005</w:t>
      </w:r>
      <w:r>
        <w:rPr>
          <w:b w:val="0"/>
          <w:i/>
        </w:rPr>
        <w:br/>
      </w:r>
      <w:r>
        <w:rPr>
          <w:b w:val="0"/>
          <w:i w:val="0"/>
        </w:rPr>
        <w:br/>
      </w:r>
    </w:p>
    <w:p>
      <w:pPr>
        <w:jc w:val="center"/>
      </w:pPr>
      <w:r>
        <w:rPr>
          <w:b w:val="0"/>
          <w:i w:val="0"/>
        </w:rPr>
        <w:br/>
        <w:t xml:space="preserve">      Số: 159/2005/QĐ-TTg</w:t>
        <w:br/>
        <w:t xml:space="preserve">     </w:t>
      </w:r>
    </w:p>
    <w:p>
      <w:pPr>
        <w:jc w:val="center"/>
      </w:pPr>
      <w:r>
        <w:rPr>
          <w:b w:val="0"/>
          <w:i w:val="0"/>
        </w:rPr>
        <w:br/>
      </w:r>
      <w:r>
        <w:rPr>
          <w:b w:val="0"/>
          <w:i/>
        </w:rPr>
        <w:t>Hà Nội, ngày 27 tháng 6 năm 2005</w:t>
      </w:r>
      <w:r>
        <w:rPr>
          <w:b w:val="0"/>
          <w:i w:val="0"/>
        </w:rPr>
        <w:br/>
      </w:r>
    </w:p>
    <w:p>
      <w:r>
        <w:rPr>
          <w:b/>
          <w:i w:val="0"/>
        </w:rPr>
        <w:t xml:space="preserve">QUYẾT ĐỊNH </w:t>
      </w:r>
    </w:p>
    <w:p>
      <w:r>
        <w:rPr>
          <w:b/>
          <w:i w:val="0"/>
        </w:rPr>
        <w:t>Về việc phê duyệt điều chỉnh phương án sắp xếp, đổi mới</w:t>
      </w:r>
    </w:p>
    <w:p>
      <w:r>
        <w:rPr>
          <w:b/>
          <w:i w:val="0"/>
        </w:rPr>
        <w:t xml:space="preserve"> một số công ty nhà nước thuộc Uỷ ban nhân dân tỉnh Hải Dương</w:t>
      </w:r>
    </w:p>
    <w:p>
      <w:r>
        <w:rPr>
          <w:b/>
          <w:i w:val="0"/>
        </w:rPr>
        <w:t>____________________</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Uỷ ban nhân dân tỉnh Hải Dương,</w:t>
      </w:r>
    </w:p>
    <w:p>
      <w:r>
        <w:rPr>
          <w:b/>
          <w:i w:val="0"/>
        </w:rPr>
        <w:t>QUYẾT ĐỊNH :</w:t>
      </w:r>
    </w:p>
    <w:p>
      <w:r>
        <w:rPr>
          <w:b/>
          <w:i w:val="0"/>
        </w:rPr>
        <w:t xml:space="preserve">Điều 1. </w:t>
      </w:r>
      <w:r>
        <w:rPr>
          <w:b w:val="0"/>
          <w:i w:val="0"/>
        </w:rPr>
        <w:t>Phê duyệt phương án sắp xếp, đổi mới một số công ty nhà nước thuộc Uỷ ban nhân dân tỉnh Hải Dương như sau:</w:t>
      </w:r>
    </w:p>
    <w:p>
      <w:r>
        <w:rPr>
          <w:b w:val="0"/>
          <w:i w:val="0"/>
        </w:rPr>
        <w:t>1. Chuyển sang công ty trách nhiệm hữu hạn 1 thành viên:</w:t>
      </w:r>
    </w:p>
    <w:p>
      <w:r>
        <w:rPr>
          <w:b w:val="0"/>
          <w:i w:val="0"/>
        </w:rPr>
        <w:t>- Công ty Cấp nước Hải Dương.</w:t>
      </w:r>
    </w:p>
    <w:p>
      <w:r>
        <w:rPr>
          <w:b w:val="0"/>
          <w:i w:val="0"/>
        </w:rPr>
        <w:t>2. Thực hiện cổ phần hóa, trong đó:</w:t>
      </w:r>
    </w:p>
    <w:p>
      <w:r>
        <w:rPr>
          <w:b w:val="0"/>
          <w:i w:val="0"/>
        </w:rPr>
        <w:t>- Nhà nước giữ trên 50% vốn điều lệ: Công ty Xi măng Hải Dương.</w:t>
      </w:r>
    </w:p>
    <w:p>
      <w:r>
        <w:rPr>
          <w:b w:val="0"/>
          <w:i w:val="0"/>
        </w:rPr>
        <w:t>- Nhà nước giữ cổ phần ở mức thấp hoặc không giữ cổ phần: Xí nghiệp In Hải Dương.</w:t>
      </w:r>
    </w:p>
    <w:p>
      <w:r>
        <w:rPr>
          <w:b/>
          <w:i w:val="0"/>
        </w:rPr>
        <w:t xml:space="preserve">Điều 2. </w:t>
      </w:r>
      <w:r>
        <w:rPr>
          <w:b w:val="0"/>
          <w:i w:val="0"/>
        </w:rPr>
        <w:t>Chủ tịch Uỷ ban nhân dân tỉnh Hải Dương:</w:t>
      </w:r>
    </w:p>
    <w:p>
      <w:r>
        <w:rPr>
          <w:b w:val="0"/>
          <w:i w:val="0"/>
        </w:rPr>
        <w:t>1. Chỉ đạo thực hiện việc sắp xếp, đổi mới doanh nghiệp nhà nước trực thuộc tỉnh đã được phê duyệt tại Quyết định số 268/QĐ-TTg ngày 12 tháng 3 năm 2003 của Thủ tướng Chính phủ và Quyết định này.</w:t>
      </w:r>
    </w:p>
    <w:p>
      <w:r>
        <w:rPr>
          <w:b w:val="0"/>
          <w:i w:val="0"/>
        </w:rPr>
        <w:t>2. Sắp xếp Nông trường Chí Linh theo quy định tại Nghị định số 170/2004/NĐ-CP ngày 22 tháng 9 năm 2004 của Chính phủ về sắp xếp, đổi mới và phát triển nông trường quốc doanh.</w:t>
      </w:r>
    </w:p>
    <w:p>
      <w:r>
        <w:rPr>
          <w:b/>
          <w:i w:val="0"/>
        </w:rPr>
        <w:t xml:space="preserve">Điều 3. </w:t>
      </w:r>
      <w:r>
        <w:rPr>
          <w:b w:val="0"/>
          <w:i w:val="0"/>
        </w:rPr>
        <w:t>Quyết định này có hiệu lực sau 15 ngày, kể từ ngày đăng Công báo.</w:t>
      </w:r>
    </w:p>
    <w:p>
      <w:r>
        <w:rPr>
          <w:b w:val="0"/>
          <w:i w:val="0"/>
        </w:rPr>
        <w:t>Chủ tịch Uỷ ban nhân dân tỉnh Hải Dương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