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15/2002/CT-UB Về việc tăng cường quản lý đối tượng kinh doanh và quản lý thu thuế sản xuất kỉnh doanh mặt hàng nhựa tiêu dừng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NGHỆ AN</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 CỦA UBND TỈNH NGHỆ AN</w:t>
      </w:r>
    </w:p>
    <w:p>
      <w:r>
        <w:rPr>
          <w:b/>
          <w:i w:val="0"/>
        </w:rPr>
        <w:t>Về việc tăng cường quản lý đối tượng kinh doanh và quản lý thu thuế sản xuất kỉnh doanh mặt hàng nhựa tiêu dừng trên địa bàn tỉnh Nghệ An.</w:t>
      </w:r>
    </w:p>
    <w:p>
      <w:r>
        <w:rPr>
          <w:b w:val="0"/>
          <w:i w:val="0"/>
        </w:rPr>
        <w:t>Để tăng cường công tác quản lý kinh doanh và quản lý thu thuế, hướng dẫn người tiêu dùng sử dụng các mặt hàng truyền thống, hạn chế từng bước thay thế tiêu dùng sản phẩm nhựa. Ngăn chặn tình trạng ô nhiễm môi trường do phế liệu các sản phẩm chậm phân hủy này tạo ra. Góp phần tạo thị trường để khuyến khích phát triển các mặt hàng truyền thống của các làng nghề, tạo việc làm và thu nhập cho một bộ phận dân cư trong tỉnh.</w:t>
      </w:r>
    </w:p>
    <w:p>
      <w:r>
        <w:rPr>
          <w:b w:val="0"/>
          <w:i w:val="0"/>
        </w:rPr>
        <w:t>Căn cứ vào kết quả khảo sát và đề nghị của Cục thuế Nghệ An tại Báo cáo số 182 CT/NVT ngày 16/4/2002.</w:t>
      </w:r>
    </w:p>
    <w:p>
      <w:r>
        <w:rPr>
          <w:b w:val="0"/>
          <w:i w:val="0"/>
        </w:rPr>
        <w:t>Ủy ban nhân dân tỉnh yêu cầu thủ trưởng các ngành các cấp thực hiện tốt một số nội dung sau đây:</w:t>
      </w:r>
    </w:p>
    <w:p>
      <w:r>
        <w:rPr>
          <w:b w:val="0"/>
          <w:i w:val="0"/>
        </w:rPr>
        <w:t>1. Giao Sở Kế hoạch và Đầu tư, Chủ tịch UBND các huyện, thành phố, thị xã kiểm tra chặt chẽ việc kinh doanh theo giấy phép và việc cấp giấy phép kinh doanh. Xử lý nghiêm các hộ kinh doanh không đúng danh mục đã đăng ký, đặc biệt là mặt hàng nhựa tiêu dùng. Hạn chế việc cấp giấy phép kinh doanh mặt hàng nhựa trên địa bàn tỉnh.</w:t>
      </w:r>
    </w:p>
    <w:p>
      <w:r>
        <w:rPr>
          <w:b w:val="0"/>
          <w:i w:val="0"/>
        </w:rPr>
        <w:t>2. Giao Sở Thương mại chủ trì phối hợp với Sở Khoa học Công nghệ và Môi trường, tăng cường kiểm tra các cơ sở kinh doanh mặt hàng nhựa tiêu dùng để việc chấp hành các chế độ chính sách của Nhà nước đối với mặt hàng này, đình chỉ kinh doanh đối với các cơ sở vi phạm.</w:t>
      </w:r>
    </w:p>
    <w:p>
      <w:r>
        <w:rPr>
          <w:b w:val="0"/>
          <w:i w:val="0"/>
        </w:rPr>
        <w:t>3. Giao Hội đồng liên minh các HTX và doanh nghiệp NQD phối hợp với các ngành chức năng và UBND các huyện, thành phố, thị xã xây dựng đề án phát triển sản xuất mặt hàng truyền thống thay thế mặt hàng nhựa phù hợp với nhu cầu tiêu dùng của nhân dân. UBND tỉnh tạo điều kiện ưu đãi cao nhất về chính sách đầu tư đất, thuế và các quy định khác của Nhà nước.</w:t>
      </w:r>
    </w:p>
    <w:p>
      <w:r>
        <w:rPr>
          <w:b w:val="0"/>
          <w:i w:val="0"/>
        </w:rPr>
        <w:t>4. Giao Cục thuế Nghệ An chủ trì, phối hợp với các cơ quan chức năng liên quan, UBND các huyện, thành phố, thị xã chỉ đạo các Chi cục thuế tổ chức ngay việc điều tra khảo sát lại doanh số, thu nhập chịu thuế đối tượng kinh doanh mặt hàng nhựa tiêu dùng sát đúng thực tế. Truy thu, xử phạt về thuế theo luật định và đưa vào quản lý các đối tượng chưa đăng ký nộp thuế.</w:t>
      </w:r>
    </w:p>
    <w:p>
      <w:r>
        <w:rPr>
          <w:b w:val="0"/>
          <w:i w:val="0"/>
        </w:rPr>
        <w:t>- Đối với đối tượng nộp thuế (DNNN, DNTN, Công ty TNHH, các hộ nộp thuế khấu trừ và trực tiếp) hạch toán, kê khai không trung thực doanh số, chi phí, tỷ lệ GTGT và thu nhập chịu thuế cơ quan thuế thực hiện quyền ấn định lại mức thuế theo tỷ lệ quy định tại Quyết định số 204 CT/QĐ ngày 18/7/2001 của Cục thuế Nghệ An, tính trên doanh số điều tra hàng tháng sát với thực tế phát sinh.</w:t>
      </w:r>
    </w:p>
    <w:p>
      <w:r>
        <w:rPr>
          <w:b w:val="0"/>
          <w:i w:val="0"/>
        </w:rPr>
        <w:t>- Đối với các đối tượng SXKD mặt hàng nhựa, nộp thuế ấn định 6 tháng, 12 tháng giao các chi cục thuế điều tra lại doanh số tính thuế, để tăng ở mức cao nhất số thuế phải nộp.</w:t>
      </w:r>
    </w:p>
    <w:p>
      <w:r>
        <w:rPr>
          <w:b w:val="0"/>
          <w:i w:val="0"/>
        </w:rPr>
        <w:t>- Giao cơ quan thuế chủ trì phối hợp với Chi cục quản lý thị trường kiểm tra mặt hàng nhựa trong khâu lưu thông, nếu không có hóa đơn, chứng từ hợp pháp kèm theo hàng hóa thì xử phạt theo quy định hiện hành, trường hợp là hộ kinh doanh buôn chuyến không có biên lai thu thuế buôn chuyến (kể cả khi có đủ hóa đơn mua hàng) thực hiện truy thu theo quy định và xử phạt hành chính trong lĩnh vực thuế.</w:t>
      </w:r>
    </w:p>
    <w:p>
      <w:r>
        <w:rPr>
          <w:b w:val="0"/>
          <w:i w:val="0"/>
        </w:rPr>
        <w:t>5. Yêu cầu thủ trưởng các ngành, Cục thuế, Sở Kế hoạch Đầu tư, Sở Khoa học Công nghệ Môi trường, Sở Thương mại, Chi cục quản lý thị trường, Chi cục đo lường chất lượng, Chủ tịch UBND các huyện, thành phố, thị xã và các đối tượng SXKD mặt hàng nhựa tiêu dùng trên địa bàn tỉnh Nghệ An thực hiện nghiêm túc Chỉ thị này.</w:t>
      </w:r>
    </w:p>
    <w:p>
      <w:r>
        <w:rPr>
          <w:b w:val="0"/>
          <w:i w:val="0"/>
        </w:rPr>
        <w:t>Các cơ quan thông tin đại chúng, báo chí, đài truyền hình, phát thanh phổ biến rộng rãi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UBND TỈNH NGHỆ AN</w:t>
            </w:r>
            <w:r>
              <w:rPr>
                <w:b w:val="0"/>
                <w:i w:val="0"/>
              </w:rPr>
              <w:br/>
            </w:r>
            <w:r>
              <w:rPr>
                <w:b/>
                <w:i/>
              </w:rPr>
              <w:t>KT CHỦ TỊCH</w:t>
            </w:r>
            <w:r>
              <w:rPr>
                <w:b w:val="0"/>
                <w:i w:val="0"/>
              </w:rPr>
              <w:br/>
            </w:r>
            <w:r>
              <w:rPr>
                <w:b/>
                <w:i/>
              </w:rPr>
              <w:t>PHÓ CHỦ TỊCH</w:t>
            </w:r>
            <w:r>
              <w:rPr>
                <w:b w:val="0"/>
                <w:i w:val="0"/>
              </w:rPr>
              <w:br/>
            </w:r>
            <w:r>
              <w:rPr>
                <w:b/>
                <w:i/>
              </w:rPr>
              <w:t>(</w:t>
            </w:r>
            <w:r>
              <w:rPr>
                <w:b/>
                <w:i/>
              </w:rPr>
              <w:t>Đã Ký)</w:t>
            </w:r>
            <w:r>
              <w:rPr>
                <w:b w:val="0"/>
                <w:i w:val="0"/>
              </w:rPr>
              <w:br/>
            </w:r>
            <w:r>
              <w:rPr>
                <w:b/>
                <w:i/>
              </w:rPr>
              <w:t xml:space="preserve"> </w:t>
            </w:r>
            <w:r>
              <w:rPr>
                <w:b w:val="0"/>
                <w:i w:val="0"/>
              </w:rPr>
              <w:br/>
            </w:r>
            <w:r>
              <w:rPr>
                <w:b/>
                <w:i w:val="0"/>
              </w:rPr>
              <w:t>NGUYỄN VĂN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