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15/2011/QĐ-UBND Quy định mức thu, nộp, chế độ quản lý sử dụng phí vào cổng tham quan tại khu du lịch Hồ Than Thở, thành phố Đà Lạt</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w:t>
      </w:r>
      <w:r>
        <w:rPr>
          <w:b/>
          <w:i w:val="0"/>
        </w:rPr>
        <w:t xml:space="preserve"> </w:t>
      </w:r>
      <w:r>
        <w:rPr>
          <w:b/>
          <w:i w:val="0"/>
        </w:rPr>
        <w:t>DÂN</w:t>
      </w:r>
      <w:r>
        <w:br/>
      </w:r>
      <w:r>
        <w:rPr>
          <w:b/>
          <w:i w:val="0"/>
        </w:rPr>
        <w:br/>
        <w:t xml:space="preserve">           TỈNH</w:t>
      </w:r>
      <w:r>
        <w:rPr>
          <w:b/>
          <w:i w:val="0"/>
        </w:rPr>
        <w:t xml:space="preserve"> </w:t>
      </w:r>
      <w:r>
        <w:rPr>
          <w:b/>
          <w:i w:val="0"/>
        </w:rPr>
        <w:t>LÂM ĐỒNG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w:t>
      </w:r>
      <w:r>
        <w:rPr>
          <w:b w:val="0"/>
          <w:i w:val="0"/>
        </w:rPr>
        <w:t xml:space="preserve"> 15</w:t>
      </w:r>
      <w:r>
        <w:rPr>
          <w:b w:val="0"/>
          <w:i w:val="0"/>
        </w:rPr>
        <w:t>/2011</w:t>
      </w:r>
      <w:r>
        <w:rPr>
          <w:b w:val="0"/>
          <w:i w:val="0"/>
        </w:rPr>
        <w:t>/QĐ-UBND</w:t>
      </w:r>
      <w:r>
        <w:rPr>
          <w:b w:val="0"/>
          <w:i w:val="0"/>
        </w:rPr>
        <w:br/>
      </w:r>
      <w:r>
        <w:rPr>
          <w:b w:val="0"/>
          <w:i w:val="0"/>
        </w:rPr>
        <w:br/>
      </w:r>
      <w:r>
        <w:rPr>
          <w:b w:val="0"/>
          <w:i/>
        </w:rPr>
        <w:t>Lâm Đồng</w:t>
      </w:r>
      <w:r>
        <w:rPr>
          <w:b w:val="0"/>
          <w:i/>
        </w:rPr>
        <w:t>, ngày</w:t>
      </w:r>
      <w:r>
        <w:rPr>
          <w:b w:val="0"/>
          <w:i/>
        </w:rPr>
        <w:t xml:space="preserve"> 07</w:t>
      </w:r>
      <w:r>
        <w:rPr>
          <w:b w:val="0"/>
          <w:i/>
        </w:rPr>
        <w:t xml:space="preserve"> </w:t>
      </w:r>
      <w:r>
        <w:rPr>
          <w:b w:val="0"/>
          <w:i/>
        </w:rPr>
        <w:t>tháng</w:t>
      </w:r>
      <w:r>
        <w:rPr>
          <w:b w:val="0"/>
          <w:i/>
        </w:rPr>
        <w:t xml:space="preserve"> 4</w:t>
      </w:r>
      <w:r>
        <w:rPr>
          <w:b w:val="0"/>
          <w:i/>
        </w:rPr>
        <w:t xml:space="preserve"> </w:t>
      </w:r>
      <w:r>
        <w:rPr>
          <w:b w:val="0"/>
          <w:i/>
        </w:rPr>
        <w:t>năm</w:t>
      </w:r>
      <w:r>
        <w:rPr>
          <w:b w:val="0"/>
          <w:i/>
        </w:rPr>
        <w:t xml:space="preserve"> </w:t>
      </w:r>
      <w:r>
        <w:rPr>
          <w:b w:val="0"/>
          <w:i/>
        </w:rPr>
        <w:t>2011</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V/v quy định mức thu, nộp, chế độ quản lý sử dụng phí </w:t>
      </w:r>
      <w:r>
        <w:rPr>
          <w:b/>
          <w:i w:val="0"/>
        </w:rPr>
        <w:t xml:space="preserve">vào cổng tham </w:t>
      </w:r>
      <w:r>
        <w:rPr>
          <w:b w:val="0"/>
          <w:i w:val="0"/>
        </w:rPr>
        <w:br/>
      </w:r>
      <w:r>
        <w:rPr>
          <w:b/>
          <w:i w:val="0"/>
        </w:rPr>
        <w:t xml:space="preserve">quan tại khu du lịch Hồ Than Thở </w:t>
      </w:r>
      <w:r>
        <w:rPr>
          <w:b/>
          <w:i w:val="0"/>
        </w:rPr>
        <w:t>thành phố Đà Lạt, tỉnh Lâm Đồng.</w:t>
      </w:r>
      <w:r>
        <w:rPr>
          <w:b w:val="0"/>
          <w:i w:val="0"/>
        </w:rPr>
        <w:br/>
      </w:r>
      <w:r>
        <w:rPr>
          <w:b/>
          <w:i w:val="0"/>
        </w:rPr>
        <w:t>UỶ BAN NHÂN DÂN TỈNH LÂM ĐỒNG</w:t>
      </w:r>
      <w:r>
        <w:rPr>
          <w:b w:val="0"/>
          <w:i w:val="0"/>
        </w:rPr>
        <w:br/>
      </w:r>
      <w:r>
        <w:rPr>
          <w:b w:val="0"/>
          <w:i w:val="0"/>
        </w:rPr>
        <w:t>Căn cứ Luật Tổ chức Hội đồng nhân dân và Uỷ ban nhân dân ngày 26 tháng 11 năm 2003;</w:t>
      </w:r>
      <w:r>
        <w:rPr>
          <w:b w:val="0"/>
          <w:i w:val="0"/>
        </w:rPr>
        <w:br/>
      </w:r>
      <w:r>
        <w:rPr>
          <w:b w:val="0"/>
          <w:i w:val="0"/>
        </w:rPr>
        <w:t>Căn cứ Pháp lệnh phí và lệ phí số 38/2001/PL-UBTVQH10 ngày 28/8/2001 của Uỷ ban Thường vụ Quốc hội;</w:t>
      </w:r>
      <w:r>
        <w:rPr>
          <w:b w:val="0"/>
          <w:i w:val="0"/>
        </w:rPr>
        <w:br/>
      </w:r>
      <w:r>
        <w:rPr>
          <w:b w:val="0"/>
          <w:i w:val="0"/>
        </w:rPr>
        <w:t>Căn cứ Nghị định số 57/2002/NĐ-CP ngày 03/6/2002 của Chính phủ quy định chi tiết thi hành Pháp lệnh phí-lệ phí; Nghị định số 24/2006/NĐ-CP ngày 06/3/2006 của Chính phủ sửa đổi, bổ sung một số điều của Nghị định 57/2002/NĐ-CP;</w:t>
      </w:r>
      <w:r>
        <w:rPr>
          <w:b w:val="0"/>
          <w:i w:val="0"/>
        </w:rPr>
        <w:br/>
      </w:r>
      <w:r>
        <w:rPr>
          <w:b w:val="0"/>
          <w:i w:val="0"/>
        </w:rPr>
        <w:t>Căn cứ Thông tư số 63/2002/TT-BTC ngày 24/07/2002 của Bộ Tài chính hướng dẫn thực hiện các quy định pháp luật về phí và lệ phí; Thông tư số 45/2006/TT-BTC ngày 25/5/2006 của Bộ Tài chính sửa đổi, bổ sung Thông tư số 63/2002/TT-BTC ngày 24/07/2002 hướng dẫn thực hiện các quy định pháp luật về phí và lệ phí và Thông tư số 97/2006/TT-BTC ngày 16/10/2006 của Bộ Tài chính hướng dẫn về phí và lệ phí thuộc thẩm quyền quyết định của HĐND tỉnh, thành phố trực thuộc Trung ương;</w:t>
      </w:r>
      <w:r>
        <w:rPr>
          <w:b w:val="0"/>
          <w:i w:val="0"/>
        </w:rPr>
        <w:br/>
      </w:r>
      <w:r>
        <w:rPr>
          <w:b w:val="0"/>
          <w:i w:val="0"/>
        </w:rPr>
        <w:t>Căn cứ Nghị quyết số 67/2006/NQ-HĐND ngày 08/12/2006 của HĐND tỉnh Lâm Đồng về việc quy định danh mục, khung mức thu, tỷ lệ điều tiết các loại phí, lệ phí và 02 quỹ thuộc thẩm quyền quyết định của HĐND tỉnh trên địa bàn tỉnh Lâm Đồng;</w:t>
      </w:r>
      <w:r>
        <w:rPr>
          <w:b w:val="0"/>
          <w:i w:val="0"/>
        </w:rPr>
        <w:br/>
      </w:r>
      <w:r>
        <w:rPr>
          <w:b w:val="0"/>
          <w:i w:val="0"/>
        </w:rPr>
        <w:t>Theo đề nghị của Sở Tài chính tỉnh Lâm Đồng tại Tờ trình số: 556/TTr-STC-GCS ngày 01 tháng 4 năm 2011,</w:t>
      </w:r>
      <w:r>
        <w:rPr>
          <w:b w:val="0"/>
          <w:i w:val="0"/>
        </w:rPr>
        <w:br/>
      </w:r>
      <w:r>
        <w:rPr>
          <w:b/>
          <w:i w:val="0"/>
        </w:rPr>
        <w:t>QUYẾT ĐỊNH:</w:t>
      </w:r>
      <w:r>
        <w:rPr>
          <w:b w:val="0"/>
          <w:i w:val="0"/>
        </w:rPr>
        <w:br/>
      </w:r>
      <w:r>
        <w:rPr>
          <w:b/>
          <w:i w:val="0"/>
        </w:rPr>
        <w:t>Điều 1</w:t>
      </w:r>
      <w:r>
        <w:rPr>
          <w:b w:val="0"/>
          <w:i w:val="0"/>
        </w:rPr>
        <w:t>. Phê duyệt mức thu, nộp, chế độ quản lý sử dụng phí vào cổng tham quan tại Khu du lịch Hồ Than Thở thành phố Đà Lạt, tỉnh Lâm Đồng như sau:</w:t>
      </w:r>
      <w:r>
        <w:rPr>
          <w:b w:val="0"/>
          <w:i w:val="0"/>
        </w:rPr>
        <w:br/>
      </w:r>
      <w:r>
        <w:rPr>
          <w:b w:val="0"/>
          <w:i w:val="0"/>
        </w:rPr>
        <w:t>1. Mức thu phí vào cổng:</w:t>
      </w:r>
      <w:r>
        <w:rPr>
          <w:b w:val="0"/>
          <w:i w:val="0"/>
        </w:rPr>
        <w:br/>
      </w:r>
      <w:r>
        <w:rPr>
          <w:b w:val="0"/>
          <w:i w:val="0"/>
        </w:rPr>
        <w:t xml:space="preserve">- Người lớn: </w:t>
      </w:r>
      <w:r>
        <w:rPr>
          <w:b/>
          <w:i w:val="0"/>
        </w:rPr>
        <w:t>10.000 đồng/vé/lượt người;</w:t>
      </w:r>
      <w:r>
        <w:rPr>
          <w:b w:val="0"/>
          <w:i w:val="0"/>
        </w:rPr>
        <w:br/>
      </w:r>
      <w:r>
        <w:rPr>
          <w:b w:val="0"/>
          <w:i w:val="0"/>
        </w:rPr>
        <w:t xml:space="preserve">- Trẻ em (cao dưới 1,2 mét): </w:t>
      </w:r>
      <w:r>
        <w:rPr>
          <w:b/>
          <w:i w:val="0"/>
        </w:rPr>
        <w:t>5.000 đồng/vé/lượt người;</w:t>
      </w:r>
      <w:r>
        <w:rPr>
          <w:b w:val="0"/>
          <w:i w:val="0"/>
        </w:rPr>
        <w:br/>
      </w:r>
      <w:r>
        <w:rPr>
          <w:b w:val="0"/>
          <w:i w:val="0"/>
        </w:rPr>
        <w:t>Các mức thu trên đã bao gồm thuế GTGT phải nộp, không phân biệt khách sử dụng là người trong nước hay người nước ngoài. Ngoài mức thu phí vào cổng tham quan trên đây Công ty TNHH Thùy Dương không được thu thêm tiền của du khách khi quay phim, chụp ảnh trong điểm tham quan dưới bất kỳ hình thức nào.</w:t>
      </w:r>
      <w:r>
        <w:rPr>
          <w:b w:val="0"/>
          <w:i w:val="0"/>
        </w:rPr>
        <w:br/>
      </w:r>
      <w:r>
        <w:rPr>
          <w:b w:val="0"/>
          <w:i w:val="0"/>
        </w:rPr>
        <w:t>2. Quản lý và sử dụng phí thu được: Công ty TNHH Thùy Dương có trách nhiệm liên hệ với Sở Tài chính, Cục Thuế Lâm Đồng để được hướng dẫn về việc in ấn, phát hành vé vào cổng và thực hiện thu nộp, quản lý, sử dụng, thanh quyết toán số tiền thu được theo đúng quy định.</w:t>
      </w:r>
      <w:r>
        <w:rPr>
          <w:b w:val="0"/>
          <w:i w:val="0"/>
        </w:rPr>
        <w:br/>
      </w:r>
      <w:r>
        <w:rPr>
          <w:b/>
          <w:i w:val="0"/>
        </w:rPr>
        <w:t>Điều 2</w:t>
      </w:r>
      <w:r>
        <w:rPr>
          <w:b w:val="0"/>
          <w:i w:val="0"/>
        </w:rPr>
        <w:t>. Quyết định này có hiệu lực sau 10 ngày kể từ ngày ký và thay thế Quyết định số 31/2009/QĐ-UBND ngày 09/6/2009 của UBND tỉnh Lâm Đồng về mức thu, nộp, tỷ lệ điều tiết và chế độ quản lý sử dụng phí vào cổng tham quan tại Khu du lịch Hồ Than Thở, thành phố Đà Lạt, tỉnh Lâm Đồng.</w:t>
      </w:r>
      <w:r>
        <w:rPr>
          <w:b w:val="0"/>
          <w:i w:val="0"/>
        </w:rPr>
        <w:br/>
      </w:r>
      <w:r>
        <w:rPr>
          <w:b/>
          <w:i w:val="0"/>
        </w:rPr>
        <w:t>Điều 3.</w:t>
      </w:r>
      <w:r>
        <w:rPr>
          <w:b w:val="0"/>
          <w:i w:val="0"/>
        </w:rPr>
        <w:t xml:space="preserve"> Giao Sở Tài chính, Cục Thuế tỉnh hướng dẫn Công ty TNHH Thùy Dương về biên lai, ấn chỉ; chế độ thu, nộp, quản lý, sử dụng và thanh quyết toán theo quy định.</w:t>
      </w:r>
      <w:r>
        <w:rPr>
          <w:b w:val="0"/>
          <w:i w:val="0"/>
        </w:rPr>
        <w:br/>
      </w:r>
      <w:r>
        <w:rPr>
          <w:b/>
          <w:i w:val="0"/>
        </w:rPr>
        <w:t>Điều 4</w:t>
      </w:r>
      <w:r>
        <w:rPr>
          <w:b w:val="0"/>
          <w:i w:val="0"/>
        </w:rPr>
        <w:t>. Chánh Văn phòng UBND tỉnh; Giám đốc các Sở: Tài chính, Văn hoá Thể thao Du lịch; Cục trưởng Cục Thuế; Chủ tịch UBND thành phố Đà Lạt; Giám đốc Công ty TNHH Thùy Dương; Thủ trưởng các tổ chức, đơn vị và các cá nhân có liên quan chịu trách nhiệm thi hành Quyết định./.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w:t>
      </w:r>
      <w:r>
        <w:rPr>
          <w:b/>
          <w:i/>
        </w:rPr>
        <w:t>Đã ký</w:t>
      </w:r>
      <w:r>
        <w:rPr>
          <w:b/>
          <w:i w:val="0"/>
        </w:rPr>
        <w:t>)</w:t>
      </w:r>
      <w:r>
        <w:rPr>
          <w:b w:val="0"/>
          <w:i w:val="0"/>
        </w:rPr>
        <w:br/>
      </w:r>
      <w:r>
        <w:rPr>
          <w:b/>
          <w:i w:val="0"/>
        </w:rPr>
        <w:t>Nguyễn Văn Yên</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w:t>
            </w:r>
            <w:r>
              <w:rPr>
                <w:b/>
                <w:i w:val="0"/>
              </w:rPr>
              <w:t xml:space="preserve"> </w:t>
            </w:r>
            <w:r>
              <w:rPr>
                <w:b/>
                <w:i w:val="0"/>
              </w:rPr>
              <w:t>DÂN</w:t>
            </w:r>
            <w:r>
              <w:br/>
            </w:r>
            <w:r>
              <w:rPr>
                <w:b/>
                <w:i w:val="0"/>
              </w:rPr>
              <w:br/>
              <w:t xml:space="preserve">           TỈNH</w:t>
            </w:r>
            <w:r>
              <w:rPr>
                <w:b/>
                <w:i w:val="0"/>
              </w:rPr>
              <w:t xml:space="preserve"> </w:t>
            </w:r>
            <w:r>
              <w:rPr>
                <w:b/>
                <w:i w:val="0"/>
              </w:rPr>
              <w:t>LÂM ĐỒNG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w:t>
            </w:r>
            <w:r>
              <w:rPr>
                <w:b/>
                <w:i/>
              </w:rPr>
              <w:t>Đã ký</w:t>
            </w:r>
            <w:r>
              <w:rPr>
                <w:b/>
                <w:i w:val="0"/>
              </w:rPr>
              <w:t>)</w:t>
            </w:r>
            <w:r>
              <w:rPr>
                <w:b w:val="0"/>
                <w:i w:val="0"/>
              </w:rPr>
              <w:br/>
            </w:r>
            <w:r>
              <w:rPr>
                <w:b/>
                <w:i w:val="0"/>
              </w:rPr>
              <w:t>Nguyễn Văn Yên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