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15/VBHN-BTC Quy định chế độ thu, nộp, quản lý và sử dụng lệ phí cấp giấy đăng ký và biển số phương tiện giao thông cơ giới đường bộ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