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162/2005/QĐ-TTg Về việc phê duyệt Đề án sắp xếp, đổi mới lâm trường quốc doanh của Uỷ ban nhân dân tỉnh Thừa Thiên - Huế</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162/2005/QĐ-TTg</w:t>
      </w:r>
      <w:r>
        <w:rPr>
          <w:b w:val="0"/>
          <w:i w:val="0"/>
        </w:rPr>
        <w:br/>
      </w:r>
      <w:r>
        <w:rPr>
          <w:b w:val="0"/>
          <w:i w:val="0"/>
        </w:rPr>
        <w:br/>
      </w:r>
      <w:r>
        <w:rPr>
          <w:b w:val="0"/>
          <w:i/>
        </w:rPr>
        <w:t>Hà Nội, ngày 01 tháng 7 năm 2005</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Về việc phê duyệt Đề án sắp xếp, đổi mới lâm trường</w:t>
      </w:r>
      <w:r>
        <w:rPr>
          <w:b w:val="0"/>
          <w:i w:val="0"/>
        </w:rPr>
        <w:br/>
      </w:r>
      <w:r>
        <w:rPr>
          <w:b/>
          <w:i w:val="0"/>
        </w:rPr>
        <w:t xml:space="preserve"> quốc doanh của Uỷ ban nhân dân tỉnh Thừa Thiên - Huế</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Nghị định số 200/2004/NĐ-CP ngày 03 tháng 12 năm 2004 của Chính phủ về sắp xếp, đổi mới và phát triển lâm trường quốc doanh;</w:t>
      </w:r>
      <w:r>
        <w:rPr>
          <w:b w:val="0"/>
          <w:i w:val="0"/>
        </w:rPr>
        <w:br/>
      </w:r>
      <w:r>
        <w:rPr>
          <w:b w:val="0"/>
          <w:i/>
        </w:rPr>
        <w:t xml:space="preserve">Xét đề nghị của Bộ trưởng Bộ Nông nghiệp và Phát triển nông thôn và Chủ tịch ủy ban nhân dân tỉnh Thừa Thiên Huế, </w:t>
      </w:r>
      <w:r>
        <w:rPr>
          <w:b w:val="0"/>
          <w:i w:val="0"/>
        </w:rPr>
        <w:br/>
      </w:r>
      <w:r>
        <w:rPr>
          <w:b/>
          <w:i w:val="0"/>
        </w:rPr>
        <w:t xml:space="preserve">QUYẾT ĐỊNH </w:t>
      </w:r>
      <w:r>
        <w:rPr>
          <w:b w:val="0"/>
          <w:i w:val="0"/>
        </w:rPr>
        <w:br/>
      </w:r>
      <w:r>
        <w:rPr>
          <w:b/>
          <w:i w:val="0"/>
        </w:rPr>
        <w:t>Điều 1.</w:t>
      </w:r>
      <w:r>
        <w:rPr>
          <w:b w:val="0"/>
          <w:i w:val="0"/>
        </w:rPr>
        <w:t xml:space="preserve"> Phê duyệt Đề án sắp xếp, đổi mới lâm trường quốc doanh của ủy ban nhân dân tỉnh Thừa Thiên Huế như sau:</w:t>
      </w:r>
      <w:r>
        <w:rPr>
          <w:b w:val="0"/>
          <w:i w:val="0"/>
        </w:rPr>
        <w:br/>
      </w:r>
      <w:r>
        <w:rPr>
          <w:b w:val="0"/>
          <w:i w:val="0"/>
        </w:rPr>
        <w:t>1. Tổ chức lại các lâm trường sau thành các Công ty lâm nghiệp:</w:t>
      </w:r>
      <w:r>
        <w:rPr>
          <w:b w:val="0"/>
          <w:i w:val="0"/>
        </w:rPr>
        <w:br/>
      </w:r>
      <w:r>
        <w:rPr>
          <w:b w:val="0"/>
          <w:i w:val="0"/>
        </w:rPr>
        <w:t>- Lâm trường Tiền Phong;</w:t>
      </w:r>
      <w:r>
        <w:rPr>
          <w:b w:val="0"/>
          <w:i w:val="0"/>
        </w:rPr>
        <w:br/>
      </w:r>
      <w:r>
        <w:rPr>
          <w:b w:val="0"/>
          <w:i w:val="0"/>
        </w:rPr>
        <w:t>- Lâm trường Phú Lộc;</w:t>
      </w:r>
      <w:r>
        <w:rPr>
          <w:b w:val="0"/>
          <w:i w:val="0"/>
        </w:rPr>
        <w:br/>
      </w:r>
      <w:r>
        <w:rPr>
          <w:b w:val="0"/>
          <w:i w:val="0"/>
        </w:rPr>
        <w:t>- Lâm trường Phong Điền;</w:t>
      </w:r>
      <w:r>
        <w:rPr>
          <w:b w:val="0"/>
          <w:i w:val="0"/>
        </w:rPr>
        <w:br/>
      </w:r>
      <w:r>
        <w:rPr>
          <w:b w:val="0"/>
          <w:i w:val="0"/>
        </w:rPr>
        <w:t>- Sáp nhập Lâm trường Hương Giang (thuộc Công ty Kinh doanh lâm nghiệp) vào Lâm trường Nam Hoà thành Công ty Lâm nghiệp Nam Hoà.</w:t>
      </w:r>
      <w:r>
        <w:rPr>
          <w:b w:val="0"/>
          <w:i w:val="0"/>
        </w:rPr>
        <w:br/>
      </w:r>
      <w:r>
        <w:rPr>
          <w:b w:val="0"/>
          <w:i w:val="0"/>
        </w:rPr>
        <w:t>2. Chuyển các lâm trường sau thành Ban quản lý rừng phòng hộ:</w:t>
      </w:r>
      <w:r>
        <w:rPr>
          <w:b w:val="0"/>
          <w:i w:val="0"/>
        </w:rPr>
        <w:br/>
      </w:r>
      <w:r>
        <w:rPr>
          <w:b w:val="0"/>
          <w:i w:val="0"/>
        </w:rPr>
        <w:t>- Lâm trường A Lưới;</w:t>
      </w:r>
      <w:r>
        <w:rPr>
          <w:b w:val="0"/>
          <w:i w:val="0"/>
        </w:rPr>
        <w:br/>
      </w:r>
      <w:r>
        <w:rPr>
          <w:b w:val="0"/>
          <w:i w:val="0"/>
        </w:rPr>
        <w:t>- Lâm trường Hương Thuỷ (thuộc Công ty Kinh doanh lâm nghiệp);</w:t>
      </w:r>
      <w:r>
        <w:rPr>
          <w:b w:val="0"/>
          <w:i w:val="0"/>
        </w:rPr>
        <w:br/>
      </w:r>
      <w:r>
        <w:rPr>
          <w:b w:val="0"/>
          <w:i w:val="0"/>
        </w:rPr>
        <w:t>- Hợp nhất Lâm trường Nam Đông (thuộc Công ty Kinh doanh lâm nghiệp) và Lâm trường Khe Tre thành Ban quản lý rừng phòng hộ huyện Nam Đông.</w:t>
      </w:r>
      <w:r>
        <w:rPr>
          <w:b w:val="0"/>
          <w:i w:val="0"/>
        </w:rPr>
        <w:br/>
      </w:r>
      <w:r>
        <w:rPr>
          <w:b w:val="0"/>
          <w:i w:val="0"/>
        </w:rPr>
        <w:t>3. Cổ phần hoá Công ty Kinh doanh lâm nghiệp sau khi tách 3 lâm trường để tổ chức lại như khoản 1 và khoản 2 Điều này.</w:t>
      </w:r>
      <w:r>
        <w:rPr>
          <w:b w:val="0"/>
          <w:i w:val="0"/>
        </w:rPr>
        <w:br/>
      </w:r>
      <w:r>
        <w:rPr>
          <w:b/>
          <w:i w:val="0"/>
        </w:rPr>
        <w:t>Điều 2.</w:t>
      </w:r>
      <w:r>
        <w:rPr>
          <w:b w:val="0"/>
          <w:i w:val="0"/>
        </w:rPr>
        <w:t xml:space="preserve"> Chủ tịch ủy ban nhân dân tỉnh Thừa Thiên Huế:</w:t>
      </w:r>
      <w:r>
        <w:rPr>
          <w:b w:val="0"/>
          <w:i w:val="0"/>
        </w:rPr>
        <w:br/>
      </w:r>
      <w:r>
        <w:rPr>
          <w:b w:val="0"/>
          <w:i w:val="0"/>
        </w:rPr>
        <w:t>1. Chỉ đạo thực hiện việc sắp xếp, đổi mới lâm trường quốc doanh như Điều 1 của Quyết định này.</w:t>
      </w:r>
      <w:r>
        <w:rPr>
          <w:b w:val="0"/>
          <w:i w:val="0"/>
        </w:rPr>
        <w:br/>
      </w:r>
      <w:r>
        <w:rPr>
          <w:b w:val="0"/>
          <w:i w:val="0"/>
        </w:rPr>
        <w:t>2. Quyết định điều chỉnh lại diện tích, ranh giới các loại đất giao cho các Công ty lâm nghiệp và Ban quản lý rừng phù hợp với quy hoạch phát triển lâm nghiệp của địa phương và quy hoạch phát triển của từng lâm trường.</w:t>
      </w:r>
      <w:r>
        <w:rPr>
          <w:b w:val="0"/>
          <w:i w:val="0"/>
        </w:rPr>
        <w:br/>
      </w:r>
      <w:r>
        <w:rPr>
          <w:b/>
          <w:i w:val="0"/>
        </w:rPr>
        <w:t>Điều 3.</w:t>
      </w:r>
      <w:r>
        <w:rPr>
          <w:b w:val="0"/>
          <w:i w:val="0"/>
        </w:rPr>
        <w:t xml:space="preserve"> Các Bộ: Nông nghiệp và Phát triển nông thôn, Tài chính, Kế hoạch và Đầu tư, Lao động - Thương binh và Xã hội, Nội vụ và các Bộ liên quan có trách nhiệm phối hợp với ủy ban nhân dân tỉnh Thừa Thiên Huế trong thực hiện Đề án này.</w:t>
      </w:r>
      <w:r>
        <w:rPr>
          <w:b w:val="0"/>
          <w:i w:val="0"/>
        </w:rPr>
        <w:br/>
      </w:r>
      <w:r>
        <w:rPr>
          <w:b w:val="0"/>
          <w:i w:val="0"/>
        </w:rPr>
        <w:t>Bộ Nông nghiệp và Phát triển nông thôn có trách nhiệm theo dõi thực hiện Quyết định này.</w:t>
      </w:r>
      <w:r>
        <w:rPr>
          <w:b w:val="0"/>
          <w:i w:val="0"/>
        </w:rPr>
        <w:br/>
      </w:r>
      <w:r>
        <w:rPr>
          <w:b/>
          <w:i w:val="0"/>
        </w:rPr>
        <w:t>Điều 4.</w:t>
      </w:r>
      <w:r>
        <w:rPr>
          <w:b w:val="0"/>
          <w:i w:val="0"/>
        </w:rPr>
        <w:t xml:space="preserve"> Quyết định này có hiệu lực sau 15 ngày, kể từ ngày đăng công báo.</w:t>
      </w:r>
      <w:r>
        <w:rPr>
          <w:b w:val="0"/>
          <w:i w:val="0"/>
        </w:rPr>
        <w:br/>
      </w:r>
      <w:r>
        <w:rPr>
          <w:b w:val="0"/>
          <w:i w:val="0"/>
        </w:rPr>
        <w:t>Chủ tịch ủy ban nhân dân tỉnh Thừa Thiên Huế và Thủ trưởng các cơ quan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 :</w:t>
      </w:r>
      <w:r>
        <w:br/>
      </w:r>
      <w:r>
        <w:rPr>
          <w:b w:val="0"/>
          <w:i w:val="0"/>
        </w:rPr>
        <w:br/>
        <w:t xml:space="preserve">         - Như Điều 3 và Điều 4;</w:t>
      </w:r>
      <w:r>
        <w:br/>
      </w:r>
      <w:r>
        <w:rPr>
          <w:b w:val="0"/>
          <w:i w:val="0"/>
        </w:rPr>
        <w:br/>
        <w:t xml:space="preserve">         - Thủ tướng CP, PTT Nguyễn Tấn Dũng;</w:t>
      </w:r>
      <w:r>
        <w:br/>
      </w:r>
      <w:r>
        <w:rPr>
          <w:b w:val="0"/>
          <w:i w:val="0"/>
        </w:rPr>
        <w:br/>
        <w:t xml:space="preserve">         - Ban Kinh tế Trung ương;</w:t>
      </w:r>
      <w:r>
        <w:br/>
      </w:r>
      <w:r>
        <w:rPr>
          <w:b w:val="0"/>
          <w:i w:val="0"/>
        </w:rPr>
        <w:br/>
        <w:t xml:space="preserve">         - Ngân hàng Nhà nước VN; </w:t>
      </w:r>
      <w:r>
        <w:br/>
      </w:r>
      <w:r>
        <w:rPr>
          <w:b w:val="0"/>
          <w:i w:val="0"/>
        </w:rPr>
        <w:br/>
        <w:t xml:space="preserve">         - Ban Chỉ đạo ĐM&amp;PTDN;</w:t>
      </w:r>
      <w:r>
        <w:br/>
      </w:r>
      <w:r>
        <w:rPr>
          <w:b w:val="0"/>
          <w:i w:val="0"/>
        </w:rPr>
        <w:br/>
        <w:t xml:space="preserve">         - VPCP : BTCN, PCN Nguyễn Công Sự, </w:t>
      </w:r>
      <w:r>
        <w:br/>
      </w:r>
      <w:r>
        <w:rPr>
          <w:b w:val="0"/>
          <w:i w:val="0"/>
        </w:rPr>
        <w:br/>
        <w:t xml:space="preserve">         Ban Điều hành 112, các Vụ : NN, TH, </w:t>
      </w:r>
      <w:r>
        <w:br/>
      </w:r>
      <w:r>
        <w:rPr>
          <w:b w:val="0"/>
          <w:i w:val="0"/>
        </w:rPr>
        <w:br/>
        <w:t xml:space="preserve">         ĐP, Công báo;</w:t>
      </w:r>
      <w:r>
        <w:br/>
      </w:r>
      <w:r>
        <w:rPr>
          <w:b w:val="0"/>
          <w:i w:val="0"/>
        </w:rPr>
        <w:br/>
        <w:t xml:space="preserve">         - Lưu : Văn thư. ĐMDN (5b), A.</w:t>
      </w:r>
      <w:r>
        <w:rPr>
          <w:b w:val="0"/>
          <w:i w:val="0"/>
        </w:rPr>
        <w:br/>
      </w:r>
      <w:r>
        <w:rPr>
          <w:b w:val="0"/>
          <w:i w:val="0"/>
        </w:rPr>
        <w:br/>
      </w:r>
      <w:r>
        <w:rPr>
          <w:b/>
          <w:i w:val="0"/>
        </w:rPr>
        <w:t xml:space="preserve">KT. THỦ TƯỚNG </w:t>
      </w:r>
      <w:r>
        <w:br/>
      </w:r>
      <w:r>
        <w:rPr>
          <w:b/>
          <w:i w:val="0"/>
        </w:rPr>
        <w:t>PHÓ THỦ TƯỚNG</w:t>
      </w:r>
      <w:r>
        <w:rPr>
          <w:b w:val="0"/>
          <w:i w:val="0"/>
        </w:rPr>
        <w:t xml:space="preserve"> </w:t>
      </w:r>
      <w:r>
        <w:br/>
      </w:r>
      <w:r>
        <w:br/>
      </w:r>
      <w:r>
        <w:rPr>
          <w:b/>
          <w:i/>
        </w:rPr>
        <w:t>(đã ký)</w:t>
      </w:r>
      <w:r>
        <w:br/>
      </w:r>
      <w:r>
        <w:br/>
      </w:r>
      <w:r>
        <w:br/>
      </w:r>
      <w:r>
        <w:rPr>
          <w:b/>
          <w:i w:val="0"/>
        </w:rPr>
        <w:br/>
        <w:t xml:space="preserve">          Nguyễn Tấn Dũng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 :</w:t>
            </w:r>
            <w:r>
              <w:br/>
            </w:r>
            <w:r>
              <w:rPr>
                <w:b w:val="0"/>
                <w:i w:val="0"/>
              </w:rPr>
              <w:br/>
              <w:t xml:space="preserve">         - Như Điều 3 và Điều 4;</w:t>
            </w:r>
            <w:r>
              <w:br/>
            </w:r>
            <w:r>
              <w:rPr>
                <w:b w:val="0"/>
                <w:i w:val="0"/>
              </w:rPr>
              <w:br/>
              <w:t xml:space="preserve">         - Thủ tướng CP, PTT Nguyễn Tấn Dũng;</w:t>
            </w:r>
            <w:r>
              <w:br/>
            </w:r>
            <w:r>
              <w:rPr>
                <w:b w:val="0"/>
                <w:i w:val="0"/>
              </w:rPr>
              <w:br/>
              <w:t xml:space="preserve">         - Ban Kinh tế Trung ương;</w:t>
            </w:r>
            <w:r>
              <w:br/>
            </w:r>
            <w:r>
              <w:rPr>
                <w:b w:val="0"/>
                <w:i w:val="0"/>
              </w:rPr>
              <w:br/>
              <w:t xml:space="preserve">         - Ngân hàng Nhà nước VN; </w:t>
            </w:r>
            <w:r>
              <w:br/>
            </w:r>
            <w:r>
              <w:rPr>
                <w:b w:val="0"/>
                <w:i w:val="0"/>
              </w:rPr>
              <w:br/>
              <w:t xml:space="preserve">         - Ban Chỉ đạo ĐM&amp;PTDN;</w:t>
            </w:r>
            <w:r>
              <w:br/>
            </w:r>
            <w:r>
              <w:rPr>
                <w:b w:val="0"/>
                <w:i w:val="0"/>
              </w:rPr>
              <w:br/>
              <w:t xml:space="preserve">         - VPCP : BTCN, PCN Nguyễn Công Sự, </w:t>
            </w:r>
            <w:r>
              <w:br/>
            </w:r>
            <w:r>
              <w:rPr>
                <w:b w:val="0"/>
                <w:i w:val="0"/>
              </w:rPr>
              <w:br/>
              <w:t xml:space="preserve">         Ban Điều hành 112, các Vụ : NN, TH, </w:t>
            </w:r>
            <w:r>
              <w:br/>
            </w:r>
            <w:r>
              <w:rPr>
                <w:b w:val="0"/>
                <w:i w:val="0"/>
              </w:rPr>
              <w:br/>
              <w:t xml:space="preserve">         ĐP, Công báo;</w:t>
            </w:r>
            <w:r>
              <w:br/>
            </w:r>
            <w:r>
              <w:rPr>
                <w:b w:val="0"/>
                <w:i w:val="0"/>
              </w:rPr>
              <w:br/>
              <w:t xml:space="preserve">         - Lưu : Văn thư. ĐMDN (5b), A.</w:t>
            </w:r>
          </w:p>
        </w:tc>
        <w:tc>
          <w:tcPr>
            <w:tcW w:type="dxa" w:w="4320"/>
          </w:tcPr>
          <w:p>
            <w:r>
              <w:rPr>
                <w:b w:val="0"/>
                <w:i w:val="0"/>
              </w:rPr>
              <w:br/>
            </w:r>
            <w:r>
              <w:rPr>
                <w:b/>
                <w:i w:val="0"/>
              </w:rPr>
              <w:t xml:space="preserve">KT. THỦ TƯỚNG </w:t>
            </w:r>
            <w:r>
              <w:br/>
            </w:r>
            <w:r>
              <w:rPr>
                <w:b/>
                <w:i w:val="0"/>
              </w:rPr>
              <w:t>PHÓ THỦ TƯỚNG</w:t>
            </w:r>
            <w:r>
              <w:rPr>
                <w:b w:val="0"/>
                <w:i w:val="0"/>
              </w:rPr>
              <w:t xml:space="preserve"> </w:t>
            </w:r>
            <w:r>
              <w:br/>
            </w:r>
            <w:r>
              <w:br/>
            </w:r>
            <w:r>
              <w:rPr>
                <w:b/>
                <w:i/>
              </w:rPr>
              <w:t>(đã ký)</w:t>
            </w:r>
            <w:r>
              <w:br/>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