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164/2003/QĐ-TTg Về việc phê duyệt Phương án tổng thể sắp xếp, đổi mới doanh nghiệp nhà nước trực thuộc Tổng công ty Giấy Việt Nam đến năm 2005</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164/2003/QĐ-TTg</w:t>
      </w:r>
      <w:r>
        <w:rPr>
          <w:b w:val="0"/>
          <w:i w:val="0"/>
        </w:rPr>
        <w:br/>
      </w:r>
      <w:r>
        <w:rPr>
          <w:b w:val="0"/>
          <w:i w:val="0"/>
        </w:rPr>
        <w:br/>
      </w:r>
      <w:r>
        <w:rPr>
          <w:b w:val="0"/>
          <w:i/>
        </w:rPr>
        <w:br/>
      </w:r>
      <w:r>
        <w:rPr>
          <w:b w:val="0"/>
          <w:i/>
        </w:rPr>
        <w:t>Hà Nội, ngày 18 tháng 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164/2003/QĐ-TTg</w:t>
      </w:r>
      <w:r>
        <w:rPr>
          <w:b w:val="0"/>
          <w:i w:val="0"/>
        </w:rPr>
        <w:br/>
      </w:r>
      <w:r>
        <w:rPr>
          <w:b w:val="0"/>
          <w:i w:val="0"/>
        </w:rPr>
        <w:br/>
      </w:r>
      <w:r>
        <w:rPr>
          <w:b w:val="0"/>
          <w:i/>
        </w:rPr>
        <w:br/>
      </w:r>
      <w:r>
        <w:rPr>
          <w:b w:val="0"/>
          <w:i/>
        </w:rPr>
        <w:t>Hà Nội, ngày 18 tháng 2 năm 2003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i w:val="0"/>
        </w:rPr>
        <w:t xml:space="preserve">****** </w:t>
      </w:r>
      <w:r>
        <w:rPr>
          <w:b w:val="0"/>
          <w:i w:val="0"/>
        </w:rPr>
        <w:br/>
      </w:r>
      <w:r>
        <w:rPr>
          <w:b w:val="0"/>
          <w:i w:val="0"/>
        </w:rPr>
        <w:br/>
      </w:r>
    </w:p>
    <w:p>
      <w:r>
        <w:rPr>
          <w:b w:val="0"/>
          <w:i w:val="0"/>
        </w:rPr>
        <w:br/>
      </w:r>
      <w:r>
        <w:rPr>
          <w:b w:val="0"/>
          <w:i w:val="0"/>
        </w:rPr>
        <w:t>CHÍNH PHỦ</w:t>
      </w:r>
      <w:r>
        <w:rPr>
          <w:b w:val="0"/>
          <w:i w:val="0"/>
        </w:rPr>
        <w:br/>
      </w:r>
    </w:p>
    <w:p>
      <w:r>
        <w:rPr>
          <w:b w:val="0"/>
          <w:i w:val="0"/>
        </w:rPr>
        <w:br/>
      </w:r>
      <w:r>
        <w:rPr>
          <w:b/>
          <w:i w:val="0"/>
        </w:rPr>
        <w:t xml:space="preserve">****** </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164/2003/QĐ-TTg</w:t>
      </w:r>
      <w:r>
        <w:rPr>
          <w:b w:val="0"/>
          <w:i w:val="0"/>
        </w:rPr>
        <w:br/>
      </w:r>
      <w:r>
        <w:rPr>
          <w:b w:val="0"/>
          <w:i w:val="0"/>
        </w:rPr>
        <w:br/>
      </w:r>
      <w:r>
        <w:rPr>
          <w:b w:val="0"/>
          <w:i/>
        </w:rPr>
        <w:br/>
      </w:r>
      <w:r>
        <w:rPr>
          <w:b w:val="0"/>
          <w:i/>
        </w:rPr>
        <w:t>Hà Nội, ngày 18 tháng 2 năm 2003</w:t>
      </w:r>
      <w:r>
        <w:rPr>
          <w:b w:val="0"/>
          <w:i/>
        </w:rPr>
        <w:br/>
      </w:r>
      <w:r>
        <w:rPr>
          <w:b w:val="0"/>
          <w:i w:val="0"/>
        </w:rPr>
        <w:br/>
      </w:r>
    </w:p>
    <w:p>
      <w:pPr>
        <w:jc w:val="center"/>
      </w:pPr>
      <w:r>
        <w:rPr>
          <w:b w:val="0"/>
          <w:i w:val="0"/>
        </w:rPr>
        <w:br/>
      </w:r>
      <w:r>
        <w:rPr>
          <w:b w:val="0"/>
          <w:i w:val="0"/>
        </w:rPr>
        <w:t>Số: 164/2003/QĐ-TTg</w:t>
      </w:r>
      <w:r>
        <w:rPr>
          <w:b w:val="0"/>
          <w:i w:val="0"/>
        </w:rPr>
        <w:br/>
      </w:r>
    </w:p>
    <w:p>
      <w:pPr>
        <w:jc w:val="center"/>
      </w:pPr>
      <w:r>
        <w:rPr>
          <w:b w:val="0"/>
          <w:i w:val="0"/>
        </w:rPr>
        <w:br/>
      </w:r>
      <w:r>
        <w:rPr>
          <w:b w:val="0"/>
          <w:i w:val="0"/>
        </w:rPr>
        <w:t>Hà Nội, ngày 18 tháng 2 năm 2003</w:t>
      </w:r>
      <w:r>
        <w:rPr>
          <w:b w:val="0"/>
          <w:i w:val="0"/>
        </w:rPr>
        <w:br/>
      </w:r>
    </w:p>
    <w:p>
      <w:r>
        <w:rPr>
          <w:b w:val="0"/>
          <w:i w:val="0"/>
        </w:rPr>
        <w:br/>
      </w:r>
      <w:r>
        <w:rPr>
          <w:b/>
          <w:i w:val="0"/>
        </w:rPr>
        <w:t>QUYẾT ĐỊNH</w:t>
      </w:r>
      <w:r>
        <w:rPr>
          <w:b w:val="0"/>
          <w:i w:val="0"/>
        </w:rPr>
        <w:br/>
      </w:r>
      <w:r>
        <w:rPr>
          <w:b/>
          <w:i w:val="0"/>
        </w:rPr>
        <w:t>VỀ VIỆC PHÊ DUYỆT PHƯƠNG ÁN TỔNG THỂ SẮP XẾP, ĐỔI MỚI</w:t>
      </w:r>
      <w:r>
        <w:rPr>
          <w:b w:val="0"/>
          <w:i w:val="0"/>
        </w:rPr>
        <w:br/>
      </w:r>
      <w:r>
        <w:rPr>
          <w:b/>
          <w:i w:val="0"/>
        </w:rPr>
        <w:t>DOANH NGHIỆP NHÀ NƯỚC TRỰC THUỘC TỔNG CÔNG TY GIẤY</w:t>
      </w:r>
      <w:r>
        <w:rPr>
          <w:b w:val="0"/>
          <w:i w:val="0"/>
        </w:rPr>
        <w:br/>
      </w:r>
      <w:r>
        <w:rPr>
          <w:b/>
          <w:i w:val="0"/>
        </w:rPr>
        <w:t>VIỆT NAM ĐẾN NĂM 2005</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Hội đồng Quản trị Tổng công Giấy Việt Nam (tờ trình số 929/TTr-HĐQT ngày 09 tháng 7 năm 2002, tờ trình số 1192/TTr-HĐQT ngày 29 tháng 8 năm 2002), ý kiến của các Bộ : Kế hoạch và Đầu tư (công văn số 6645 BKH/DN ngày 18 tháng 10 năm 2002), Tài chính (công văn số 11515/TC-TCDN ngày 25 tháng 10 năm 2002), Lao động - Thương binh và Xã hội (công văn số 3429/LĐTBXH-CSLĐVL ngày 10 tháng 10 năm 2002), Nội vụ (công văn số 474/BNV-TCBC ngày 15 tháng 10 năm 2002), Công nghiệp (công văn số 3976 CV-ĐMDN ngày 09 tháng 10 năm 2002).</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trực thuộc Tổng công ty Giấy Việt Nam đến năm 2005 như phụ lục kèm theo.</w:t>
      </w:r>
      <w:r>
        <w:rPr>
          <w:b w:val="0"/>
          <w:i w:val="0"/>
        </w:rPr>
        <w:br/>
      </w:r>
      <w:r>
        <w:rPr>
          <w:b/>
          <w:i w:val="0"/>
        </w:rPr>
        <w:t xml:space="preserve">Điều 2. </w:t>
      </w:r>
      <w:r>
        <w:rPr>
          <w:b w:val="0"/>
          <w:i w:val="0"/>
        </w:rPr>
        <w:t>Chủ tịch Hội đồng Quản trị Tổng công ty Giấy Việt Nam có trách nhiệm chỉ đạo thực hiện việc sắp xếp, đổi mới doanh nghiệp nhà nước trực thuộc theo đúng nội dung và tiến độ đã được duyệt.</w:t>
      </w:r>
      <w:r>
        <w:rPr>
          <w:b w:val="0"/>
          <w:i w:val="0"/>
        </w:rPr>
        <w:br/>
      </w:r>
      <w:r>
        <w:rPr>
          <w:b/>
          <w:i w:val="0"/>
        </w:rPr>
        <w:t xml:space="preserve">Điều 3. </w:t>
      </w:r>
      <w:r>
        <w:rPr>
          <w:b w:val="0"/>
          <w:i w:val="0"/>
        </w:rPr>
        <w:t>Bộ Tài chính, Bộ Kế hoạch và Đầu tư, Bộ Nội vụ, Bộ Lao động - Thương binh và Xã hội, Bộ Công nghiệp và các cơ quan liên quan có trách nhiệm phối hợp chỉ đạo Tổng công ty Giấy Việt Nam trong việc thực hiện Phương án nói trên.</w:t>
      </w:r>
      <w:r>
        <w:rPr>
          <w:b w:val="0"/>
          <w:i w:val="0"/>
        </w:rPr>
        <w:br/>
      </w:r>
      <w:r>
        <w:rPr>
          <w:b w:val="0"/>
          <w:i w:val="0"/>
        </w:rPr>
        <w:t>Ban Chỉ đạo Đổi mới và Phát triển doanh nghiệp chịu trách nhiệm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Hội đồng Quản trị Tổng công ty Giấy Việt Nam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