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1655/QĐ-BKHĐT Về việc công bố thủ tục hành chính sửa đổi, bổ sung mới hoặc bãi bỏ thuộc phạm vi chức năng quản lý của Bộ Kế hoạch và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 xml:space="preserve">QUYẾT ĐỊNH </w:t>
      </w:r>
    </w:p>
    <w:p>
      <w:r>
        <w:rPr>
          <w:b/>
          <w:i w:val="0"/>
        </w:rPr>
        <w:t>Về việc công bố thủ tục hành chính sửa đổi,</w:t>
      </w:r>
      <w:r>
        <w:rPr>
          <w:b/>
          <w:i w:val="0"/>
        </w:rPr>
        <w:t xml:space="preserve"> bổ sung mới</w:t>
      </w:r>
      <w:r>
        <w:rPr>
          <w:b/>
          <w:i w:val="0"/>
        </w:rPr>
        <w:t xml:space="preserve"> hoặc bãi bỏ thuộc phạm vi chức năng quản lý của Bộ Kế hoạch và Đầu tư</w:t>
      </w:r>
    </w:p>
    <w:p>
      <w:r>
        <w:rPr>
          <w:b/>
          <w:i w:val="0"/>
        </w:rPr>
        <w:t xml:space="preserve">BỘ TRƯỞNG BỘ KẾ HOẠCH VÀ ĐẦU TƯ </w:t>
      </w:r>
    </w:p>
    <w:p>
      <w:r>
        <w:rPr>
          <w:b w:val="0"/>
          <w:i/>
        </w:rPr>
        <w:t xml:space="preserve">Căn cứ Nghị định số 116/2008/NĐ-CP ngày 14 tháng 11 năm 2008 của Chính phủ quy định chức năng, nhiệm vụ, quyền hạn và cơ cấu tổ chức của Bộ Kế hoạch và Đầu tư; </w:t>
      </w:r>
    </w:p>
    <w:p>
      <w:r>
        <w:rPr>
          <w:b w:val="0"/>
          <w:i/>
        </w:rPr>
        <w:t xml:space="preserve">Căn cứ Nghị định số 63/2010/NĐ-CP ngày 08 tháng 6 năm 2010 của Chính phủ về việc kiểm soát thủ tục hành chính; </w:t>
      </w:r>
    </w:p>
    <w:p>
      <w:r>
        <w:rPr>
          <w:b w:val="0"/>
          <w:i/>
        </w:rPr>
        <w:t xml:space="preserve">Xét đề nghị của Cục trưởng Cục Quản lý đăng ký kinh doanh và Chánh Văn phòng Bộ, </w:t>
      </w:r>
    </w:p>
    <w:p>
      <w:r>
        <w:rPr>
          <w:b/>
          <w:i w:val="0"/>
        </w:rPr>
        <w:t xml:space="preserve">QUYẾT ĐỊNH: </w:t>
      </w:r>
    </w:p>
    <w:p>
      <w:r>
        <w:rPr>
          <w:b/>
          <w:i w:val="0"/>
        </w:rPr>
        <w:t xml:space="preserve">Điều 1. </w:t>
      </w:r>
      <w:r>
        <w:rPr>
          <w:b w:val="0"/>
          <w:i w:val="0"/>
        </w:rPr>
        <w:t xml:space="preserve">Công bố kèm theo Quyết định này các thủ tục hành chính sửa đổi, bổ sung hoặc bãi bỏ thuộc phạm vi chức năng quản lý của Bộ Kế hoạch và Đầu tư. </w:t>
      </w:r>
    </w:p>
    <w:p>
      <w:r>
        <w:rPr>
          <w:b/>
          <w:i w:val="0"/>
        </w:rPr>
        <w:t xml:space="preserve">Điều 2. </w:t>
      </w:r>
      <w:r>
        <w:rPr>
          <w:b w:val="0"/>
          <w:i w:val="0"/>
        </w:rPr>
        <w:t xml:space="preserve">Quyết định này có hiệu lực thi hành kể từ ngày ký. </w:t>
      </w:r>
    </w:p>
    <w:p>
      <w:r>
        <w:rPr>
          <w:b/>
          <w:i w:val="0"/>
        </w:rPr>
        <w:t xml:space="preserve">Điều 3. </w:t>
      </w:r>
      <w:r>
        <w:rPr>
          <w:b w:val="0"/>
          <w:i w:val="0"/>
        </w:rPr>
        <w:t>Chánh Văn phòng Bộ và Cục trưởng Cục Quản lý đăng ký kinh doanh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 xml:space="preserve"> </w:t>
            </w:r>
            <w:r>
              <w:br/>
            </w:r>
            <w:r>
              <w:rPr>
                <w:b w:val="0"/>
                <w:i w:val="0"/>
              </w:rPr>
              <w:t xml:space="preserve">- Như Điều 3; </w:t>
            </w:r>
            <w:r>
              <w:br/>
            </w:r>
            <w:r>
              <w:rPr>
                <w:b w:val="0"/>
                <w:i w:val="0"/>
              </w:rPr>
              <w:br/>
              <w:t xml:space="preserve">         - Cục Kiểm soát TTHC -VPCP; </w:t>
            </w:r>
            <w:r>
              <w:br/>
            </w:r>
            <w:r>
              <w:rPr>
                <w:b w:val="0"/>
                <w:i w:val="0"/>
              </w:rPr>
              <w:br/>
              <w:t xml:space="preserve">         - Trung tâm Tin học; </w:t>
            </w:r>
            <w:r>
              <w:br/>
            </w:r>
            <w:r>
              <w:rPr>
                <w:b w:val="0"/>
                <w:i w:val="0"/>
              </w:rPr>
              <w:br/>
              <w:t xml:space="preserve">         - Lưu: VT, KSTT, ĐKKD. VA10 </w:t>
            </w:r>
          </w:p>
        </w:tc>
        <w:tc>
          <w:tcPr>
            <w:tcW w:type="dxa" w:w="4320"/>
          </w:tcPr>
          <w:p>
            <w:r>
              <w:rPr>
                <w:b w:val="0"/>
                <w:i w:val="0"/>
              </w:rPr>
              <w:br/>
            </w:r>
            <w:r>
              <w:rPr>
                <w:b/>
                <w:i w:val="0"/>
              </w:rPr>
              <w:t>KT. BỘ TRƯỞNG</w:t>
            </w:r>
            <w:r>
              <w:br/>
            </w:r>
            <w:r>
              <w:rPr>
                <w:b/>
                <w:i w:val="0"/>
              </w:rPr>
              <w:t>THỨ TRƯỞNG</w:t>
            </w:r>
            <w:r>
              <w:rPr>
                <w:b w:val="0"/>
                <w:i w:val="0"/>
              </w:rPr>
              <w:br/>
            </w:r>
            <w:r>
              <w:rPr>
                <w:b w:val="0"/>
                <w:i w:val="0"/>
              </w:rPr>
              <w:br/>
            </w:r>
            <w:r>
              <w:rPr>
                <w:b/>
                <w:i w:val="0"/>
              </w:rPr>
              <w:t xml:space="preserve"> </w:t>
            </w:r>
            <w:r>
              <w:rPr>
                <w:b w:val="0"/>
                <w:i w:val="0"/>
              </w:rPr>
              <w:br/>
            </w:r>
            <w:r>
              <w:rPr>
                <w:b/>
                <w:i w:val="0"/>
              </w:rPr>
              <w:t>Cao Viết Sinh</w:t>
            </w:r>
          </w:p>
        </w:tc>
      </w:tr>
    </w:tbl>
    <w:p>
      <w:r>
        <w:rPr>
          <w:b/>
          <w:i w:val="0"/>
        </w:rPr>
        <w:t xml:space="preserve">THỦ TỤC HÀNH CHÍNH ĐƯỢC SỬA ĐỔI, BỔ SUNG, BÃI BỎ THUỘC PHẠM VI CHỨC NĂNG QUẢN LÝ CỦA BỘ KẾ HOẠCH VÀ ĐẦU TƯ </w:t>
      </w:r>
    </w:p>
    <w:p>
      <w:r>
        <w:rPr>
          <w:b w:val="0"/>
          <w:i/>
        </w:rPr>
        <w:t>(Ban hành kèm theo Quyết định số 1655/QĐ-BKHĐT ngày 02 tháng 11 năm 2011 của Bộ trưởng Bộ Kế hoạch và Đầu tư)</w:t>
      </w:r>
    </w:p>
    <w:p>
      <w:r>
        <w:rPr>
          <w:b/>
          <w:i w:val="0"/>
        </w:rPr>
        <w:t xml:space="preserve">PHẦN I. DANH MỤC CÁC THỦ TỤC HÀNH CHÍNH ĐƯỢC SỬA ĐỔI, BỔ SUNG, BÃI BỎ THUỘC PHẠM VI CHỨC NĂNG QUẢN LÝ CỦA BỘ KẾ HOẠCH VÀ ĐẦU TƯ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Lĩnh vực</w:t>
            </w:r>
          </w:p>
        </w:tc>
        <w:tc>
          <w:tcPr>
            <w:tcW w:type="dxa" w:w="2160"/>
          </w:tcPr>
          <w:p>
            <w:r>
              <w:rPr>
                <w:b w:val="0"/>
                <w:i w:val="0"/>
              </w:rPr>
              <w:br/>
            </w:r>
            <w:r>
              <w:rPr>
                <w:b/>
                <w:i w:val="0"/>
              </w:rPr>
              <w:t>Cơ quan thực hiện</w:t>
            </w:r>
          </w:p>
        </w:tc>
      </w:tr>
    </w:tbl>
    <w:p>
      <w:r>
        <w:rPr>
          <w:b/>
          <w:i w:val="0"/>
        </w:rPr>
        <w:t xml:space="preserve">Ghi chú: </w:t>
      </w:r>
      <w:r>
        <w:rPr>
          <w:b w:val="0"/>
          <w:i w:val="0"/>
        </w:rPr>
        <w:t xml:space="preserve">Phần in nghiêng trong Bảng danh mục các thủ tục hành chính là thủ tục được bổ sung mới so với Bảng danh mục ban hành kèm theo Quyết định số 1086/QĐ-BKH ngày 10 tháng 8 năm 2009 về việc công bố bộ thủ tục hành chính thuộc phạm vi chức năng quản lý của Bộ Kế hoạch và Đầu tư. </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FILE ĐƯỢC ĐÍNH KÈM THEO VĂN BẢN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FILE ĐƯỢC ĐÍNH KÈM THEO VĂN BẢN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