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165/2004/QĐ-BCN Về việc chuyển Công ty Tư vấn đầu tư xây dựng dầu khí thành Công ty cổ phần Tư vấn đầu tư và Thiết kế dầu khí</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165/2004/QĐ-BCN</w:t>
        <w:br/>
        <w:t xml:space="preserve">     </w:t>
      </w:r>
      <w:r>
        <w:rPr>
          <w:b w:val="0"/>
          <w:i w:val="0"/>
        </w:rPr>
        <w:br/>
      </w:r>
      <w:r>
        <w:rPr>
          <w:b w:val="0"/>
          <w:i/>
        </w:rPr>
        <w:br/>
        <w:t xml:space="preserve">      Hà Nội, ngày 08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165/2004/QĐ-BCN</w:t>
        <w:br/>
        <w:t xml:space="preserve">     </w:t>
      </w:r>
      <w:r>
        <w:rPr>
          <w:b w:val="0"/>
          <w:i w:val="0"/>
        </w:rPr>
        <w:br/>
      </w:r>
      <w:r>
        <w:rPr>
          <w:b w:val="0"/>
          <w:i/>
        </w:rPr>
        <w:br/>
        <w:t xml:space="preserve">      Hà Nội, ngày 08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165/2004/QĐ-BCN</w:t>
        <w:br/>
        <w:t xml:space="preserve">     </w:t>
      </w:r>
      <w:r>
        <w:rPr>
          <w:b w:val="0"/>
          <w:i w:val="0"/>
        </w:rPr>
        <w:br/>
      </w:r>
      <w:r>
        <w:rPr>
          <w:b w:val="0"/>
          <w:i/>
        </w:rPr>
        <w:br/>
        <w:t xml:space="preserve">      Hà Nội, ngày 08 tháng 12 năm 2004</w:t>
        <w:br/>
        <w:t xml:space="preserve">     </w:t>
      </w:r>
      <w:r>
        <w:rPr>
          <w:b w:val="0"/>
          <w:i w:val="0"/>
        </w:rPr>
        <w:br/>
      </w:r>
    </w:p>
    <w:p>
      <w:pPr>
        <w:jc w:val="center"/>
      </w:pPr>
      <w:r>
        <w:rPr>
          <w:b w:val="0"/>
          <w:i w:val="0"/>
        </w:rPr>
        <w:br/>
        <w:t xml:space="preserve">      Số: 165/2004/QĐ-BCN</w:t>
        <w:br/>
        <w:t xml:space="preserve">     </w:t>
      </w:r>
    </w:p>
    <w:p>
      <w:pPr>
        <w:jc w:val="center"/>
      </w:pPr>
      <w:r>
        <w:rPr>
          <w:b w:val="0"/>
          <w:i w:val="0"/>
        </w:rPr>
        <w:br/>
        <w:t xml:space="preserve">      Hà Nội, ngày 08 tháng 12 năm 2004</w:t>
        <w:br/>
        <w:t xml:space="preserve">     </w:t>
      </w:r>
    </w:p>
    <w:p>
      <w:pPr>
        <w:jc w:val="center"/>
      </w:pPr>
      <w:r>
        <w:rPr>
          <w:b/>
          <w:i w:val="0"/>
        </w:rPr>
        <w:t>QUYẾT ĐỊNH</w:t>
      </w:r>
    </w:p>
    <w:p>
      <w:r>
        <w:rPr>
          <w:b/>
          <w:i/>
        </w:rPr>
        <w:t>Về việc chuyển Công ty Tư vấn đầu tư xây dựng dầu khí</w:t>
      </w:r>
    </w:p>
    <w:p>
      <w:pPr>
        <w:jc w:val="center"/>
      </w:pPr>
      <w:r>
        <w:rPr>
          <w:b/>
          <w:i/>
        </w:rPr>
        <w:t>thành Công ty cổ phần Tư vấn đầu tư và Thiết kế dầu khí</w:t>
      </w:r>
    </w:p>
    <w:p>
      <w:pPr>
        <w:jc w:val="center"/>
      </w:pPr>
      <w:r>
        <w:rPr>
          <w:b w:val="0"/>
          <w:i w:val="0"/>
        </w:rPr>
        <w:t xml:space="preserve">________________ </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Dầu khí Việt Nam (Công văn số 5916/CV-HĐQT ngày 11 tháng 11 năm 2004), Phương án cổ phần hoá Công ty Tư vấn đầu tư xây dựng dầu khí và Biên bản thẩm định Phương án của Ban Đổi mới và Phát triển doanh nghiệp Bộ ngày 17 tháng 11 năm 2004; </w:t>
      </w:r>
    </w:p>
    <w:p>
      <w:r>
        <w:rPr>
          <w:b w:val="0"/>
          <w:i/>
        </w:rPr>
        <w:t>Theo đề nghị của Ban Đổi mới và Phát triển doanh nghiệp và Vụ trưởng Vụ Tổ chức - Cán bộ,</w:t>
      </w:r>
    </w:p>
    <w:p>
      <w:r>
        <w:rPr>
          <w:b/>
          <w:i w:val="0"/>
        </w:rPr>
        <w:t>QUYẾT ĐỊNH:</w:t>
      </w:r>
    </w:p>
    <w:p>
      <w:r>
        <w:rPr>
          <w:b/>
          <w:i w:val="0"/>
        </w:rPr>
        <w:t>Điều 1.</w:t>
      </w:r>
      <w:r>
        <w:rPr>
          <w:b w:val="0"/>
          <w:i w:val="0"/>
        </w:rPr>
        <w:t xml:space="preserve"> Phê duyệt Phương án cổ phần hoá Công ty Tư vấn đầu tư xây dựng dầu khí (doanh nghiệp thành viên hạch toán độc lập của Tổng công ty Dầu khí Việt Nam) gồm những điểm chính như sau:</w:t>
      </w:r>
    </w:p>
    <w:p>
      <w:r>
        <w:rPr>
          <w:b w:val="0"/>
          <w:i w:val="0"/>
        </w:rPr>
        <w:t>1. Cơ cấu vốn điều lệ:</w:t>
      </w:r>
    </w:p>
    <w:p>
      <w:r>
        <w:rPr>
          <w:b w:val="0"/>
          <w:i w:val="0"/>
        </w:rPr>
        <w:t>Vốn điều lệ của Công ty cổ phần là 25.000.000.000 đồng (Hai mươi lăm tỷ đồng chẵn). Trong đó:</w:t>
      </w:r>
    </w:p>
    <w:p>
      <w:r>
        <w:rPr>
          <w:b w:val="0"/>
          <w:i w:val="0"/>
        </w:rPr>
        <w:t>- Tỷ lệ cổ phần của Nhà nước : 51,00 %;</w:t>
      </w:r>
    </w:p>
    <w:p>
      <w:r>
        <w:rPr>
          <w:b w:val="0"/>
          <w:i w:val="0"/>
        </w:rPr>
        <w:t>- Tỷ lệ cổ phần bán cho người lao động trong Công ty : 20,00 %;</w:t>
      </w:r>
    </w:p>
    <w:p>
      <w:r>
        <w:rPr>
          <w:b w:val="0"/>
          <w:i w:val="0"/>
        </w:rPr>
        <w:t>- Tỷ lệ cổ phần bán ra ngoài Công ty : 29,00 %.</w:t>
      </w:r>
    </w:p>
    <w:p>
      <w:r>
        <w:rPr>
          <w:b w:val="0"/>
          <w:i w:val="0"/>
        </w:rPr>
        <w:t>Trị giá một cổ phần: 100.000 đồng.</w:t>
      </w:r>
    </w:p>
    <w:p>
      <w:r>
        <w:rPr>
          <w:b w:val="0"/>
          <w:i w:val="0"/>
        </w:rPr>
        <w:t>2. Giá trị thực tế của Công ty Tư vấn đầu tư xây dựng dầu khí tại thời điểm ngày 31 tháng 12 năm 2003 để cổ phần hoá (Quyết định số 2759/QĐ-TCKT ngày 20 tháng 10 năm 2004 của Bộ Công nghiệp) là 116.975.311.329 đồng. Trong đó, giá trị thực tế phần vốn Nhà nước tại Công ty là 57.293.270.171 đồng.</w:t>
      </w:r>
    </w:p>
    <w:p>
      <w:r>
        <w:rPr>
          <w:b w:val="0"/>
          <w:i w:val="0"/>
        </w:rPr>
        <w:t>3. Ưu đãi cho người lao động trong Công ty. Tổng số cổ phần bán ưu đãi cho 252 lao động trong Công ty là 18.420 cổ phần với giá trị được ưu đãi là 552.600.000 đồng. Trong đó, bán ưu đãi trả chậm cho 61 lao động nghèo là 3.660 cổ phần, trị giá 256.200.000 đồng.</w:t>
      </w:r>
    </w:p>
    <w:p>
      <w:r>
        <w:rPr>
          <w:b w:val="0"/>
          <w:i w:val="0"/>
        </w:rPr>
        <w:t>4. Về chi phí cổ phần hoá, đào tạo lại lao động và giải quyết lao động dôi dư, Công ty làm thủ tục, báo cáo Tổng công ty Dầu khí Việt Nam và các cơ quan Nhà nước có thẩm quyền phê duyệt theo các quy định hiện hành.</w:t>
      </w:r>
    </w:p>
    <w:p>
      <w:r>
        <w:rPr>
          <w:b/>
          <w:i w:val="0"/>
        </w:rPr>
        <w:t xml:space="preserve">Điều 2. </w:t>
      </w:r>
      <w:r>
        <w:rPr>
          <w:b w:val="0"/>
          <w:i w:val="0"/>
        </w:rPr>
        <w:t>Chuyển Công ty Tư vấn đầu tư xây dựng dầu khí thành Công ty cổ phần Tư vấn đầu tư và Thiết kế dầu khí,</w:t>
      </w:r>
    </w:p>
    <w:p>
      <w:r>
        <w:rPr>
          <w:b w:val="0"/>
          <w:i w:val="0"/>
        </w:rPr>
        <w:t>- Tên giao dịch quốc tế: PETROVIETNAM INVESTMENT CONSULTANCY AND ENGINEERING JOINT STOCK COMPANY;</w:t>
      </w:r>
    </w:p>
    <w:p>
      <w:r>
        <w:rPr>
          <w:b w:val="0"/>
          <w:i w:val="0"/>
        </w:rPr>
        <w:t>- Tên viết tắt: PV ENGINEERING;</w:t>
      </w:r>
    </w:p>
    <w:p>
      <w:r>
        <w:rPr>
          <w:b w:val="0"/>
          <w:i w:val="0"/>
        </w:rPr>
        <w:t>- Trụ sở chính: 201 Điện Biên Phủ, phường 15, quận Bình Thạnh, Thành phố Hồ Chí Minh.</w:t>
      </w:r>
    </w:p>
    <w:p>
      <w:r>
        <w:rPr>
          <w:b/>
          <w:i w:val="0"/>
        </w:rPr>
        <w:t xml:space="preserve">Điều 3. </w:t>
      </w:r>
      <w:r>
        <w:rPr>
          <w:b w:val="0"/>
          <w:i w:val="0"/>
        </w:rPr>
        <w:t>Công ty cổ phần kinh doanh các ngành nghề:</w:t>
      </w:r>
    </w:p>
    <w:p>
      <w:r>
        <w:rPr>
          <w:b w:val="0"/>
          <w:i w:val="0"/>
        </w:rPr>
        <w:t>- Tư vấn đầu tư các dự án;</w:t>
      </w:r>
    </w:p>
    <w:p>
      <w:r>
        <w:rPr>
          <w:b w:val="0"/>
          <w:i w:val="0"/>
        </w:rPr>
        <w:t>- Đầu tư khai thác hoạt động các dự án dầu khí và các dự án xây dựng cơ bản khác; chế tạo các sản phẩm công nghệ dầu khí;</w:t>
      </w:r>
    </w:p>
    <w:p>
      <w:r>
        <w:rPr>
          <w:b w:val="0"/>
          <w:i w:val="0"/>
        </w:rPr>
        <w:t>- Khảo sát, thiết kế, kiểm định và thi công xây dựng lắp đặt từng phần hoặc trọn gói (EPC) các dự án dầu khí, dân dụng, công nghiệp và giao thông vận tải;</w:t>
      </w:r>
    </w:p>
    <w:p>
      <w:r>
        <w:rPr>
          <w:b w:val="0"/>
          <w:i w:val="0"/>
        </w:rPr>
        <w:t>- Kinh doanh các ngành nghề khác phù hợp với quy định của pháp luật.</w:t>
      </w:r>
    </w:p>
    <w:p>
      <w:r>
        <w:rPr>
          <w:b/>
          <w:i w:val="0"/>
        </w:rPr>
        <w:t xml:space="preserve">Điều 4. </w:t>
      </w:r>
      <w:r>
        <w:rPr>
          <w:b w:val="0"/>
          <w:i w:val="0"/>
        </w:rPr>
        <w:t>Công ty cổ phần Tư vấn đầu tư và Thiết kế dầu khí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Dầu khí Việt Nam có trách nhiệm chỉ đạo Công ty Tư vấn đầu tư xây dựng dầu khí tổ chức bán cổ phần và tổ chức Đại hội đồng cổ đông lần đầu Công ty cổ phần theo đúng quy định hiện hành.</w:t>
      </w:r>
    </w:p>
    <w:p>
      <w:r>
        <w:rPr>
          <w:b w:val="0"/>
          <w:i w:val="0"/>
        </w:rPr>
        <w:t>Giám đốc và Kế toán trưởng Công ty Tư vấn đầu tư xây dựng dầu khí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Dầu khí Việt Nam, Giám đốc Công ty Tư vấn đầu tư xây dựng dầu khí và Chủ tịch Hội đồng quản trị, Giám đốc Công ty cổ phần Tư vấn đầu tư và Thiết kế dầu khí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