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169/2007/QĐ-TTg Về việc ban hành Quy chế giám sát đối với doanh nghiệp nhà nước kinh doanh thua lỗ, hoạt động không có hiệu quả</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val="0"/>
                <w:i w:val="0"/>
              </w:rPr>
              <w:br/>
            </w:r>
            <w:r>
              <w:rPr>
                <w:b/>
                <w:i w:val="0"/>
              </w:rPr>
              <w:t>__________</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br/>
            </w:r>
            <w:r>
              <w:rPr>
                <w:b/>
                <w:i w:val="0"/>
              </w:rPr>
              <w:t>________________________</w:t>
            </w:r>
          </w:p>
        </w:tc>
      </w:tr>
    </w:tbl>
    <w:p>
      <w:pPr>
        <w:jc w:val="center"/>
      </w:pPr>
      <w:r>
        <w:rPr>
          <w:b w:val="0"/>
          <w:i w:val="0"/>
        </w:rPr>
        <w:t xml:space="preserve"> </w:t>
      </w:r>
      <w:r>
        <w:rPr>
          <w:b/>
          <w:i w:val="0"/>
        </w:rPr>
        <w:t>QUYẾT ĐỊNH</w:t>
      </w:r>
    </w:p>
    <w:p>
      <w:pPr>
        <w:jc w:val="center"/>
      </w:pPr>
      <w:r>
        <w:rPr>
          <w:b/>
          <w:i w:val="0"/>
        </w:rPr>
        <w:t>Về việc ban hành Quy chế giám sát đối với doanh nghiệp nhà nước kinh doanh thua lỗ, hoạt động không có hiệu quả</w:t>
      </w:r>
    </w:p>
    <w:p>
      <w:pPr>
        <w:jc w:val="center"/>
      </w:pPr>
      <w:r>
        <w:rPr>
          <w:b/>
          <w:i w:val="0"/>
        </w:rPr>
        <w:t>_________________________</w:t>
      </w:r>
    </w:p>
    <w:p>
      <w:pPr>
        <w:jc w:val="center"/>
      </w:pPr>
      <w:r>
        <w:rPr>
          <w:b/>
          <w:i w:val="0"/>
        </w:rPr>
        <w:t>THỦ TƯỚNG CHÍNH PHỦ</w:t>
      </w:r>
    </w:p>
    <w:p>
      <w:r>
        <w:rPr>
          <w:b w:val="0"/>
          <w:i/>
        </w:rPr>
        <w:t>Căn cứ Luật Tổ chức Chính phủ ngày 25 tháng 12 năm 2001;</w:t>
      </w:r>
    </w:p>
    <w:p>
      <w:r>
        <w:rPr>
          <w:b w:val="0"/>
          <w:i/>
        </w:rPr>
        <w:t>Căn cứ Luật Doanh nghiệp nhà nước ngày 26 tháng 11 năm 2003;</w:t>
      </w:r>
    </w:p>
    <w:p>
      <w:r>
        <w:rPr>
          <w:b w:val="0"/>
          <w:i/>
        </w:rPr>
        <w:t>Căn cứ Luật Doanh nghiệp ngày 29 tháng 11 năm 2005;</w:t>
      </w:r>
    </w:p>
    <w:p>
      <w:r>
        <w:rPr>
          <w:b w:val="0"/>
          <w:i/>
        </w:rPr>
        <w:t>Căn cứ Nghị định số 199/2004/NĐ-CP ngày 03 tháng 12 năm 2004 của Chính phủ ban hành Quy chế quản lý tài chính Công ty nhà nước và quản lý vốn nhà nước đầu tư ở doanh nghiệp khác;</w:t>
      </w:r>
    </w:p>
    <w:p>
      <w:r>
        <w:rPr>
          <w:b w:val="0"/>
          <w:i/>
        </w:rPr>
        <w:t>Căn cứ Nghị định số 132/2005/NĐ-CP ngày 20 tháng 10 năm 2005 của Chính phủ về thực hiện các quyền và nghĩa vụ của chủ sở hữu nhà nước đối với công ty nhà nước và Nghị định số 86/2006/NĐ-CP ngày 21 tháng 08 năm 2006 của Chính phủ sửa đổi, bổ sung một số điều của Nghị định số 132/2005/NĐ-CP ngày 20 tháng 10 năm 2005;</w:t>
      </w:r>
    </w:p>
    <w:p>
      <w:r>
        <w:rPr>
          <w:b w:val="0"/>
          <w:i/>
        </w:rPr>
        <w:t>Xét đề nghị của Bộ trưởng Bộ Tài chính,</w:t>
      </w:r>
    </w:p>
    <w:p>
      <w:pPr>
        <w:jc w:val="center"/>
      </w:pPr>
      <w:r>
        <w:rPr>
          <w:b/>
          <w:i w:val="0"/>
        </w:rPr>
        <w:t>QUYẾT ĐỊNH :</w:t>
      </w:r>
    </w:p>
    <w:p>
      <w:r>
        <w:rPr>
          <w:b/>
          <w:i w:val="0"/>
        </w:rPr>
        <w:t>Điều 1.</w:t>
      </w:r>
      <w:r>
        <w:rPr>
          <w:b w:val="0"/>
          <w:i w:val="0"/>
        </w:rPr>
        <w:t xml:space="preserve"> Ban hành kèm theo Quyết định này Quy chế giám sát đối với doanh nghiệp nhà nước kinh doanh thua lỗ, hoạt động không có hiệu quả.</w:t>
      </w:r>
    </w:p>
    <w:p>
      <w:r>
        <w:rPr>
          <w:b/>
          <w:i w:val="0"/>
        </w:rPr>
        <w:t>Điều 2</w:t>
      </w:r>
      <w:r>
        <w:rPr>
          <w:b w:val="0"/>
          <w:i w:val="0"/>
        </w:rPr>
        <w:t>. Quyết định này có hiệu lực thi hành sau 15 ngày, kể từ ngày đăng Công báo.</w:t>
      </w:r>
    </w:p>
    <w:p>
      <w:r>
        <w:rPr>
          <w:b/>
          <w:i w:val="0"/>
        </w:rPr>
        <w:t>Điều 3</w:t>
      </w:r>
      <w:r>
        <w:rPr>
          <w:b w:val="0"/>
          <w:i w:val="0"/>
        </w:rPr>
        <w:t>. Các Bộ trưởng, Thủ trưởng cơ quan ngang Bộ, Thủ trưởng cơ quan thuộc Chính phủ, Chủ tịch Ủy ban nhân dân các tỉnh, thành phố trực thuộc Trung ương, tổ chức được giao nhiệm vụ đại diện chủ sở hữu doanh nghiệp nhà nước, Chủ tịch Hội đồng quản trị Tập đoàn kinh tế nhà nước, Chủ tịch Hội đồng quản trị, Chủ tịch Hội đồng thành viên, Chủ tịch công ty, Tổng giám đốc, Giám đốc doanh nghiệp nhà nước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t>- Thủ tướng, các Phó Thủ tướng Chính phủ;</w:t>
            </w:r>
            <w:r>
              <w:br/>
            </w:r>
            <w:r>
              <w:rPr>
                <w:b w:val="0"/>
                <w:i w:val="0"/>
              </w:rPr>
              <w:t>- Các Bộ, cơ quan ngang Bộ,</w:t>
            </w:r>
            <w:r>
              <w:br/>
            </w:r>
            <w:r>
              <w:rPr>
                <w:b w:val="0"/>
                <w:i w:val="0"/>
              </w:rPr>
              <w:t xml:space="preserve"> cơ quan thuộc Chính phủ;</w:t>
            </w:r>
            <w:r>
              <w:br/>
            </w:r>
            <w:r>
              <w:rPr>
                <w:b w:val="0"/>
                <w:i w:val="0"/>
              </w:rPr>
              <w:t xml:space="preserve">- Văn phòng Ban Chỉ đạo Trung ương </w:t>
            </w:r>
            <w:r>
              <w:br/>
            </w:r>
            <w:r>
              <w:rPr>
                <w:b w:val="0"/>
                <w:i w:val="0"/>
              </w:rPr>
              <w:t xml:space="preserve"> về phòng, chống tham nhũng;</w:t>
            </w:r>
            <w:r>
              <w:br/>
            </w:r>
            <w:r>
              <w:rPr>
                <w:b w:val="0"/>
                <w:i w:val="0"/>
              </w:rPr>
              <w:t>- HĐND, UBND các tỉnh, thành phố</w:t>
            </w:r>
            <w:r>
              <w:br/>
            </w:r>
            <w:r>
              <w:rPr>
                <w:b w:val="0"/>
                <w:i w:val="0"/>
              </w:rPr>
              <w:t xml:space="preserve"> trực thuộc Trung ương;</w:t>
            </w:r>
            <w:r>
              <w:br/>
            </w:r>
            <w:r>
              <w:rPr>
                <w:b w:val="0"/>
                <w:i w:val="0"/>
              </w:rPr>
              <w:t xml:space="preserve">- Văn phòng Trung ương và các Ban của Đảng; </w:t>
            </w:r>
            <w:r>
              <w:br/>
            </w:r>
            <w:r>
              <w:rPr>
                <w:b w:val="0"/>
                <w:i w:val="0"/>
              </w:rPr>
              <w:t>- Văn phòng Chủ tịch nước;</w:t>
            </w:r>
            <w:r>
              <w:br/>
            </w:r>
            <w:r>
              <w:rPr>
                <w:b w:val="0"/>
                <w:i w:val="0"/>
              </w:rPr>
              <w:t xml:space="preserve">- Hội đồng Dân tộc và các Ủy ban của Quốc hội; </w:t>
            </w:r>
            <w:r>
              <w:br/>
            </w:r>
            <w:r>
              <w:rPr>
                <w:b w:val="0"/>
                <w:i w:val="0"/>
              </w:rPr>
              <w:t>- Văn phòng Quốc hội;</w:t>
            </w:r>
            <w:r>
              <w:br/>
            </w:r>
            <w:r>
              <w:rPr>
                <w:b w:val="0"/>
                <w:i w:val="0"/>
              </w:rPr>
              <w:t xml:space="preserve">- Toà án nhân dân tối cao; </w:t>
            </w:r>
            <w:r>
              <w:br/>
            </w:r>
            <w:r>
              <w:rPr>
                <w:b w:val="0"/>
                <w:i w:val="0"/>
              </w:rPr>
              <w:t>- Viện Kiểm sát nhân dân tối cao;</w:t>
            </w:r>
            <w:r>
              <w:br/>
            </w:r>
            <w:r>
              <w:rPr>
                <w:b w:val="0"/>
                <w:i w:val="0"/>
              </w:rPr>
              <w:t>- Kiểm toán Nhà nước;</w:t>
            </w:r>
            <w:r>
              <w:br/>
            </w:r>
            <w:r>
              <w:rPr>
                <w:b w:val="0"/>
                <w:i w:val="0"/>
              </w:rPr>
              <w:t>- Ủy ban Trung ương Mặt trận Tổ quốc Việt Nam;</w:t>
            </w:r>
            <w:r>
              <w:br/>
            </w:r>
            <w:r>
              <w:rPr>
                <w:b w:val="0"/>
                <w:i w:val="0"/>
              </w:rPr>
              <w:t xml:space="preserve">- Cơ quan Trung ương của các đoàn thể; </w:t>
            </w:r>
            <w:r>
              <w:br/>
            </w:r>
            <w:r>
              <w:rPr>
                <w:b w:val="0"/>
                <w:i w:val="0"/>
              </w:rPr>
              <w:t xml:space="preserve"> - Các Tập đoàn kinh tế Nhà nước;</w:t>
            </w:r>
            <w:r>
              <w:br/>
            </w:r>
            <w:r>
              <w:rPr>
                <w:b w:val="0"/>
                <w:i w:val="0"/>
              </w:rPr>
              <w:t>- Tổng công ty 91;</w:t>
            </w:r>
            <w:r>
              <w:br/>
            </w:r>
            <w:r>
              <w:rPr>
                <w:b w:val="0"/>
                <w:i w:val="0"/>
              </w:rPr>
              <w:t xml:space="preserve">- VPCP: BTCN, các Phó Chủ nhiệm, </w:t>
            </w:r>
            <w:r>
              <w:br/>
            </w:r>
            <w:r>
              <w:rPr>
                <w:b w:val="0"/>
                <w:i w:val="0"/>
              </w:rPr>
              <w:t xml:space="preserve">Website Chính phủ, </w:t>
            </w:r>
            <w:r>
              <w:br/>
            </w:r>
            <w:r>
              <w:rPr>
                <w:b w:val="0"/>
                <w:i w:val="0"/>
              </w:rPr>
              <w:t xml:space="preserve"> Người phát ngôn của Thủ tướng Chính phủ,</w:t>
            </w:r>
            <w:r>
              <w:br/>
            </w:r>
            <w:r>
              <w:rPr>
                <w:b w:val="0"/>
                <w:i w:val="0"/>
              </w:rPr>
              <w:t xml:space="preserve"> các Vụ, Cục, đơn vị trực thuộc, Công báo;</w:t>
            </w:r>
            <w:r>
              <w:br/>
            </w:r>
            <w:r>
              <w:rPr>
                <w:b w:val="0"/>
                <w:i w:val="0"/>
              </w:rPr>
              <w:t>- Lưu: Văn thư, KTTH (6b). Hoà 330 bản.</w:t>
            </w:r>
          </w:p>
        </w:tc>
        <w:tc>
          <w:tcPr>
            <w:tcW w:type="dxa" w:w="4320"/>
          </w:tcPr>
          <w:p>
            <w:r>
              <w:rPr>
                <w:b w:val="0"/>
                <w:i w:val="0"/>
              </w:rPr>
              <w:br/>
            </w:r>
            <w:r>
              <w:rPr>
                <w:b/>
                <w:i w:val="0"/>
              </w:rPr>
              <w:t>KT. THỦ TƯỚNG</w:t>
            </w:r>
            <w:r>
              <w:br/>
            </w:r>
            <w:r>
              <w:rPr>
                <w:b/>
                <w:i w:val="0"/>
              </w:rPr>
              <w:br/>
              <w:t xml:space="preserve">          PHÓ THỦ TƯỚNG</w:t>
            </w:r>
            <w:r>
              <w:br/>
            </w:r>
            <w:r>
              <w:rPr>
                <w:b/>
                <w:i/>
              </w:rPr>
              <w:t>(Đã ký)</w:t>
            </w:r>
            <w:r>
              <w:br/>
            </w:r>
            <w:r>
              <w:br/>
            </w:r>
            <w:r>
              <w:rPr>
                <w:b/>
                <w:i w:val="0"/>
              </w:rPr>
              <w:br/>
              <w:t xml:space="preserve">          Nguyễn Sinh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