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16/2008/TTLT-BLĐTBXH-BTC Thông tư hướng dẫn thực hiện Quyết định số 72/2008/QĐ-TTgg ngày 30/5/2008 về việc sửa đổi, bổ sung một số điều của Quyết định số 234/2005/QĐ-TTg ngày 26/9/2005 quy định chế độ đặc thù đối với công nhân, nhân viên, viên chức một số ngành nghề trong...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 THƯƠNG BINH </w:t>
            </w:r>
            <w:r>
              <w:rPr>
                <w:b w:val="0"/>
                <w:i w:val="0"/>
              </w:rPr>
              <w:br/>
            </w:r>
            <w:r>
              <w:rPr>
                <w:b/>
                <w:i w:val="0"/>
              </w:rPr>
              <w:t>VÀ XÃ HỘI-BỘ TÀI CHÍNH</w:t>
            </w:r>
            <w:r>
              <w:br/>
            </w:r>
            <w:r>
              <w:br/>
            </w:r>
          </w:p>
        </w:tc>
        <w:tc>
          <w:tcPr>
            <w:tcW w:type="dxa" w:w="4320"/>
          </w:tcPr>
          <w:p>
            <w:r>
              <w:rPr>
                <w:b w:val="0"/>
                <w:i w:val="0"/>
              </w:rPr>
              <w:br/>
            </w:r>
            <w:r>
              <w:rPr>
                <w:b/>
                <w:i w:val="0"/>
              </w:rPr>
              <w:t>CỘNG HÒA XÃ HỘI CHỦ NGHĨA VIỆT NAM</w:t>
            </w:r>
            <w:r>
              <w:br/>
            </w:r>
            <w:r>
              <w:rPr>
                <w:b/>
                <w:i w:val="0"/>
              </w:rPr>
              <w:t>Độc lập - Tự do - Hạnh phúc</w:t>
            </w:r>
            <w:r>
              <w:br/>
            </w:r>
            <w:r>
              <w:br/>
            </w:r>
          </w:p>
        </w:tc>
      </w:tr>
    </w:tbl>
    <w:p>
      <w:r>
        <w:rPr>
          <w:b/>
          <w:i w:val="0"/>
        </w:rPr>
        <w:t>THÔNG TƯ LIÊN TỊCH</w:t>
      </w:r>
    </w:p>
    <w:p>
      <w:r>
        <w:rPr>
          <w:b/>
          <w:i w:val="0"/>
        </w:rPr>
        <w:t xml:space="preserve">Hướng dẫn Quyết định </w:t>
      </w:r>
      <w:r>
        <w:rPr>
          <w:b/>
          <w:i w:val="0"/>
        </w:rPr>
        <w:t xml:space="preserve">72/2008/QĐ-TTg sửa đổi Quyết định </w:t>
      </w:r>
    </w:p>
    <w:p>
      <w:r>
        <w:rPr>
          <w:b/>
          <w:i w:val="0"/>
        </w:rPr>
        <w:t>2</w:t>
      </w:r>
      <w:r>
        <w:rPr>
          <w:b/>
          <w:i w:val="0"/>
        </w:rPr>
        <w:t xml:space="preserve">34/2005/QĐ-TTg </w:t>
      </w:r>
      <w:r>
        <w:rPr>
          <w:b/>
          <w:i w:val="0"/>
        </w:rPr>
        <w:t>quy định chế độ đặc thù đối với công nhân, nhân viên,</w:t>
      </w:r>
    </w:p>
    <w:p>
      <w:r>
        <w:rPr>
          <w:b/>
          <w:i w:val="0"/>
        </w:rPr>
        <w:t xml:space="preserve">viên chức một số  </w:t>
      </w:r>
      <w:r>
        <w:rPr>
          <w:b/>
          <w:i w:val="0"/>
        </w:rPr>
        <w:t>ngành nghề trong công ty nhà nước</w:t>
      </w:r>
    </w:p>
    <w:p>
      <w:r>
        <w:rPr>
          <w:b/>
          <w:i w:val="0"/>
        </w:rPr>
        <w:t>___________________</w:t>
      </w:r>
    </w:p>
    <w:p>
      <w:r>
        <w:rPr>
          <w:b w:val="0"/>
          <w:i/>
        </w:rPr>
        <w:t xml:space="preserve">Thực hiện Quyết định số </w:t>
      </w:r>
      <w:r>
        <w:rPr>
          <w:b w:val="0"/>
          <w:i/>
        </w:rPr>
        <w:t>72/2008/QĐ-TTg ngày 30 tháng 5 năm 2008 của Thủ tướng Chính phủ về việc sửa đổi, bổ sung một số Điều của Quyết định số 2</w:t>
      </w:r>
      <w:r>
        <w:rPr>
          <w:b w:val="0"/>
          <w:i/>
        </w:rPr>
        <w:t xml:space="preserve">34/2005/QĐ-TTg ngày 26 tháng 9 năm 2005 của Thủ tướng Chính phủ quy định chế độ đặc thù đối với công nhân, nhân viên, viên chức một số ngành, nghề trong các công ty nhà nước, liên tịch Bộ Lao động - Thương binh và Xã hội - Bộ Tài chính hướng dẫn sửa đổi, bổ sung Thông tư số 35/2005/TTLT-BLĐTBXH-BTC ngày 16 tháng 12 năm 2005 như sau: </w:t>
      </w:r>
    </w:p>
    <w:p>
      <w:r>
        <w:rPr>
          <w:b/>
          <w:i w:val="0"/>
        </w:rPr>
        <w:t>1. Sửa đổi khoản 2, mục I Thông tư số 35/2005/TTLT-BLĐTBXH-BTC như sau:</w:t>
      </w:r>
    </w:p>
    <w:p>
      <w:r>
        <w:rPr>
          <w:b w:val="0"/>
          <w:i w:val="0"/>
        </w:rPr>
        <w:t>“2. Chế độ ăn định lượng tính thành tiền theo ngày làm việc thực tế, gồm: mức 1: 50.000 đồng/ngày; mức 2: 60.000 đồng/ngày; mức 3: 70.000 đồng/ngày; mức 4: 110.000 đồng/ngày (tương đương 5 USD/ngày) và mức 5: 150.000 đồng/ngày (tương đương 7 USD/ngày).</w:t>
      </w:r>
    </w:p>
    <w:p>
      <w:r>
        <w:rPr>
          <w:b w:val="0"/>
          <w:i w:val="0"/>
        </w:rPr>
        <w:t>Các mức ăn nêu trên thay thế cho các mức ăn áp dụng cho các đối tượng quy định tại khoản 1, 2, 3, 4 và khoản 5 Phụ lục số 01 ban hành kèm theo Thông tư số 35/2005/TTLT-BLĐTBXH-BTC”.</w:t>
      </w:r>
    </w:p>
    <w:p>
      <w:r>
        <w:rPr>
          <w:b/>
          <w:i w:val="0"/>
        </w:rPr>
        <w:t xml:space="preserve">2. Sửa đổi khoản 2, mục IV Thông tư số 35/2005/TTLT-BLĐTBXH-BTC như sau: </w:t>
      </w:r>
    </w:p>
    <w:p>
      <w:r>
        <w:rPr>
          <w:b w:val="0"/>
          <w:i w:val="0"/>
        </w:rPr>
        <w:t>“2. Mức phụ cấp: 150.000 đồng/ngày (tương đương 7 USD/ngày).”</w:t>
      </w:r>
    </w:p>
    <w:p>
      <w:r>
        <w:rPr>
          <w:b w:val="0"/>
          <w:i w:val="0"/>
        </w:rPr>
        <w:t>3. Sửa đổi khoản 4 vào mục VI Thông tư số 35/2005/TTLT-BLĐTBXH-BTC như sau:</w:t>
      </w:r>
    </w:p>
    <w:p>
      <w:r>
        <w:rPr>
          <w:b w:val="0"/>
          <w:i w:val="0"/>
        </w:rPr>
        <w:t>“4. Khi chỉ số giá lương thực, thực phẩm do Tổng cục Thống kê công bố tăng từ 10% trở lên so với lần điều chỉnh gần nhất thì Bộ Lao động - Thương binh và Xã hội chủ trì, phối hợp với Bộ Tài chính và một số bộ ngành liên quan hướng dẫn điều chỉnh mức tiền ăn theo định lượng không vượt quá mức tăng chỉ số giá lương thực, thực phẩm.”</w:t>
      </w:r>
    </w:p>
    <w:p>
      <w:r>
        <w:rPr>
          <w:b w:val="0"/>
          <w:i w:val="0"/>
        </w:rPr>
        <w:t>4. Hiệu lực thi hành</w:t>
      </w:r>
    </w:p>
    <w:p>
      <w:r>
        <w:rPr>
          <w:b w:val="0"/>
          <w:i w:val="0"/>
        </w:rPr>
        <w:t>a) Thông tư này có hiệu lực thi hành sau 15 ngày, kể từ ngày đăng Công báo.</w:t>
      </w:r>
    </w:p>
    <w:p>
      <w:r>
        <w:rPr>
          <w:b w:val="0"/>
          <w:i w:val="0"/>
        </w:rPr>
        <w:t>Bãi bỏ khoản 2, mục I và khoản 2, mục IV Thông tư số 35/2005/TTLT-BLĐTBXH-BTC ngày 16 tháng 12 năm 2005 của liên tịch Bộ Lao động - Thương binh và Xã hội - Bộ Tài chính.</w:t>
      </w:r>
    </w:p>
    <w:p>
      <w:r>
        <w:rPr>
          <w:b w:val="0"/>
          <w:i w:val="0"/>
        </w:rPr>
        <w:t xml:space="preserve">b) Các chế độ quy định tại Thông tư này được áp dụng kể từ ngày 26 tháng 6 năm 2008 (ngày Quyết định số </w:t>
      </w:r>
      <w:r>
        <w:rPr>
          <w:b w:val="0"/>
          <w:i w:val="0"/>
        </w:rPr>
        <w:t xml:space="preserve">72/2008/QĐ-TTg của Thủ tướng Chính phủ có hiệu lực thi hành). </w:t>
      </w:r>
    </w:p>
    <w:p>
      <w:r>
        <w:rPr>
          <w:b w:val="0"/>
          <w:i w:val="0"/>
        </w:rPr>
        <w:t>Trong quá trình thực hiện có vướng mắc, đề nghị các Bộ, Ủy ban nhân dân các tỉnh, thành phố trực thuộc Trung ương và các công ty phản ánh về Bộ Lao động - Thương binh và Xã hội,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TÀI CHÍNH</w:t>
            </w:r>
            <w:r>
              <w:rPr>
                <w:b w:val="0"/>
                <w:i w:val="0"/>
              </w:rPr>
              <w:br/>
            </w:r>
            <w:r>
              <w:rPr>
                <w:b/>
                <w:i w:val="0"/>
              </w:rPr>
              <w:t>THỨ TRƯỞNG</w:t>
            </w:r>
            <w:r>
              <w:br/>
            </w:r>
            <w:r>
              <w:br/>
            </w:r>
            <w:r>
              <w:rPr>
                <w:b/>
                <w:i/>
              </w:rPr>
              <w:t>(Đã ký)</w:t>
            </w:r>
            <w:r>
              <w:rPr>
                <w:b w:val="0"/>
                <w:i w:val="0"/>
              </w:rPr>
              <w:br/>
            </w:r>
            <w:r>
              <w:br/>
            </w:r>
            <w:r>
              <w:br/>
            </w:r>
            <w:r>
              <w:rPr>
                <w:b/>
                <w:i w:val="0"/>
              </w:rPr>
              <w:br/>
              <w:t xml:space="preserve">           Đỗ Hoàng Anh Tuấn</w:t>
            </w:r>
          </w:p>
        </w:tc>
        <w:tc>
          <w:tcPr>
            <w:tcW w:type="dxa" w:w="4320"/>
          </w:tcPr>
          <w:p>
            <w:r>
              <w:rPr>
                <w:b w:val="0"/>
                <w:i w:val="0"/>
              </w:rPr>
              <w:br/>
            </w:r>
            <w:r>
              <w:rPr>
                <w:b/>
                <w:i w:val="0"/>
              </w:rPr>
              <w:t>KT. BỘ TRƯỞNG</w:t>
            </w:r>
            <w:r>
              <w:rPr>
                <w:b w:val="0"/>
                <w:i w:val="0"/>
              </w:rPr>
              <w:br/>
            </w:r>
            <w:r>
              <w:rPr>
                <w:b/>
                <w:i w:val="0"/>
              </w:rPr>
              <w:t>BỘ LAO ĐỘNG - THƯƠNG BINH</w:t>
            </w:r>
            <w:r>
              <w:rPr>
                <w:b w:val="0"/>
                <w:i w:val="0"/>
              </w:rPr>
              <w:br/>
            </w:r>
            <w:r>
              <w:rPr>
                <w:b/>
                <w:i w:val="0"/>
              </w:rPr>
              <w:t>VÀ XÃ HỘI</w:t>
            </w:r>
            <w:r>
              <w:rPr>
                <w:b w:val="0"/>
                <w:i w:val="0"/>
              </w:rPr>
              <w:br/>
            </w:r>
            <w:r>
              <w:rPr>
                <w:b/>
                <w:i w:val="0"/>
              </w:rPr>
              <w:t>THỨ TRƯỞNG THƯỜNG TRỰC</w:t>
            </w:r>
            <w:r>
              <w:br/>
            </w:r>
            <w:r>
              <w:br/>
            </w:r>
            <w:r>
              <w:rPr>
                <w:b/>
                <w:i/>
              </w:rPr>
              <w:t>(Đã ký)</w:t>
            </w:r>
            <w:r>
              <w:br/>
            </w:r>
            <w:r>
              <w:br/>
            </w:r>
            <w:r>
              <w:rPr>
                <w:b w:val="0"/>
                <w:i w:val="0"/>
              </w:rPr>
              <w:br/>
            </w:r>
            <w:r>
              <w:rPr>
                <w:b/>
                <w:i w:val="0"/>
              </w:rPr>
              <w:t>Huỳnh Thị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