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16/2016/QĐ-UBND Về ban hành Bộ tiêu thức phân công cơ quan thuế quản lý đối với doanh nghiệp thành lập mới trên địa bàn Thành phố Hồ Chí Minh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val="0"/>
          <w:i w:val="0"/>
        </w:rPr>
        <w:t>VỀ BAN HÀNH BỘ TIÊU THỨC PHÂN CÔNG CƠ QUAN THUẾ QUẢN LÝ ĐỐI VỚI DOANH NGHIỆP THÀNH LẬP MỚI TRÊN ĐỊA BÀN THÀNH PHỐ HỒ CHÍ MINH</w:t>
      </w:r>
    </w:p>
    <w:p>
      <w:r>
        <w:rPr>
          <w:b/>
          <w:i w:val="0"/>
        </w:rPr>
        <w:t>ỦY BAN NHÂN DÂN THÀNH PHỐ HỒ CHÍ MINH</w:t>
      </w:r>
    </w:p>
    <w:p>
      <w:r>
        <w:rPr>
          <w:b w:val="0"/>
          <w:i/>
        </w:rPr>
        <w:t>Căn cứ Luật Tổ chức chính quyền địa phương ngày 19 tháng 6 năm 2015;</w:t>
      </w:r>
    </w:p>
    <w:p>
      <w:r>
        <w:rPr>
          <w:b w:val="0"/>
          <w:i/>
        </w:rPr>
        <w:t>Căn cứ Luật Ngân sách nhà nước ngày 16 tháng 12 năm 2002;</w:t>
      </w:r>
    </w:p>
    <w:p>
      <w:r>
        <w:rPr>
          <w:b w:val="0"/>
          <w:i/>
        </w:rPr>
        <w:t>Căn cứ Luật Ban hành văn bản quy phạm pháp luật của Hội đồng nhân dân và Ủy ban nhân dân ngày 03 tháng 12 năm 2004;</w:t>
      </w:r>
    </w:p>
    <w:p>
      <w:r>
        <w:rPr>
          <w:b w:val="0"/>
          <w:i/>
        </w:rPr>
        <w:t>Căn cứ Luật Quản lý thuế số 78/2006/QH11 ngày 29 tháng 11 năm 2006 và Luật sửa đổi, bổ sung một số điều của Luật Quản lý thuế số 21/2012/QH13 ngày 20 tháng 11 năm 2012;</w:t>
      </w:r>
    </w:p>
    <w:p>
      <w:r>
        <w:rPr>
          <w:b w:val="0"/>
          <w:i/>
        </w:rPr>
        <w:t>Căn cứ Thông tư số 127/2015/TT-BTC ngày 21 tháng 8 năm 2015 của Bộ Tài chính hướng dẫn việc cấp mã số doanh nghiệp thành lập mới và phân công cơ quan thuế quản lý đối với doanh nghiệp;</w:t>
      </w:r>
    </w:p>
    <w:p>
      <w:r>
        <w:rPr>
          <w:b w:val="0"/>
          <w:i/>
        </w:rPr>
        <w:t>Căn cứ Nghị quyết số 08/2016/NQ-HĐND ngày 21 tháng 4 năm 2016 của Hội đồng nhân dân Thành phố về ban hành Bộ tiêu thức phân công cơ quan thuế quản lý đối với doanh nghiệp mới thành lập trên địa bàn Thành phố Hồ Chí Minh;</w:t>
      </w:r>
    </w:p>
    <w:p>
      <w:r>
        <w:rPr>
          <w:b w:val="0"/>
          <w:i/>
        </w:rPr>
        <w:t>Xét đề nghị của Cục Thuế Thành phố tại Công văn số 1622/CT- THNVDT ngày 25 tháng 02 năm 2016 và ý kiến thẩm định của Sở Tư pháp tại Công văn số 6375/STP-VB ngày 25 tháng 11 năm 2015,</w:t>
      </w:r>
    </w:p>
    <w:p>
      <w:r>
        <w:rPr>
          <w:b/>
          <w:i w:val="0"/>
        </w:rPr>
        <w:t>QUYẾT ĐỊNH:</w:t>
      </w:r>
    </w:p>
    <w:p>
      <w:r>
        <w:rPr>
          <w:b/>
          <w:i w:val="0"/>
        </w:rPr>
        <w:t>Điều 1.</w:t>
      </w:r>
      <w:r>
        <w:rPr>
          <w:b/>
          <w:i w:val="0"/>
        </w:rPr>
        <w:t xml:space="preserve"> </w:t>
      </w:r>
      <w:r>
        <w:rPr>
          <w:b w:val="0"/>
          <w:i w:val="0"/>
        </w:rPr>
        <w:t>Ban hành Bộ tiêu thức phân công cơ quan thuế quản lý đối với doanh nghiệp thành lập mới trên địa bàn Thành phố Hồ Chí Minh, như sau:</w:t>
      </w:r>
    </w:p>
    <w:p>
      <w:r>
        <w:rPr>
          <w:b w:val="0"/>
          <w:i w:val="0"/>
        </w:rPr>
        <w:t>1. Các doanh nghiệp thỏa mãn 01 (một) trong các tiêu thức sau sẽ được phân công cho Cục Thuế Thành phố quản lý:</w:t>
      </w:r>
    </w:p>
    <w:p>
      <w:r>
        <w:rPr>
          <w:b w:val="0"/>
          <w:i w:val="0"/>
        </w:rPr>
        <w:t>a) Tiêu thức phân công theo loại hình doanh nghiệp và qui mô vốn điều lệ:</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TIÊU THỨC</w:t>
            </w:r>
          </w:p>
        </w:tc>
        <w:tc>
          <w:tcPr>
            <w:tcW w:type="dxa" w:w="2880"/>
          </w:tcPr>
          <w:p>
            <w:r>
              <w:rPr>
                <w:b w:val="0"/>
                <w:i w:val="0"/>
              </w:rPr>
              <w:br/>
            </w:r>
            <w:r>
              <w:rPr>
                <w:b/>
                <w:i w:val="0"/>
              </w:rPr>
              <w:t>GHI CHÚ</w:t>
            </w:r>
          </w:p>
        </w:tc>
      </w:tr>
    </w:tbl>
    <w:p>
      <w:r>
        <w:rPr>
          <w:b w:val="0"/>
          <w:i w:val="0"/>
        </w:rPr>
        <w:t>b) Tiêu thức phân công theo ngành nghề kinh doanh:</w:t>
      </w:r>
    </w:p>
    <w:p>
      <w:r>
        <w:rPr>
          <w:b w:val="0"/>
          <w:i w:val="0"/>
        </w:rPr>
        <w:t>Căn cứ vào ngành nghề kinh doanh chính của doanh nghiệp trên hồ sơ đăng ký doanh nghiệp, nếu ngành nghề kinh doanh chính thuộc danh sách dưới đây thì doanh nghiệp được phân công Cục Thuế Thành phố quản lý.</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M</w:t>
            </w:r>
            <w:r>
              <w:rPr>
                <w:b/>
                <w:i w:val="0"/>
              </w:rPr>
              <w:t>Ã</w:t>
            </w:r>
            <w:r>
              <w:rPr>
                <w:b/>
                <w:i w:val="0"/>
              </w:rPr>
              <w:t xml:space="preserve"> </w:t>
            </w:r>
            <w:r>
              <w:rPr>
                <w:b/>
                <w:i w:val="0"/>
              </w:rPr>
              <w:t>NGÀNH</w:t>
            </w:r>
          </w:p>
        </w:tc>
        <w:tc>
          <w:tcPr>
            <w:tcW w:type="dxa" w:w="2880"/>
          </w:tcPr>
          <w:p>
            <w:r>
              <w:rPr>
                <w:b w:val="0"/>
                <w:i w:val="0"/>
              </w:rPr>
              <w:br/>
            </w:r>
            <w:r>
              <w:rPr>
                <w:b/>
                <w:i w:val="0"/>
              </w:rPr>
              <w:t>TÊN NGÀNH</w:t>
            </w:r>
          </w:p>
        </w:tc>
      </w:tr>
    </w:tbl>
    <w:p>
      <w:r>
        <w:rPr>
          <w:b w:val="0"/>
          <w:i w:val="0"/>
        </w:rPr>
        <w:t>c) Doanh nghiệp có hoạt động sản xuất kinh doanh xuất khẩu thường xuyên thuộc đối tượng và các trường hợp được hoàn thuế giá trị gia tăng.</w:t>
      </w:r>
    </w:p>
    <w:p>
      <w:r>
        <w:rPr>
          <w:b w:val="0"/>
          <w:i w:val="0"/>
        </w:rPr>
        <w:t>2. Các doanh nghiệp không thỏa mãn các tiêu thức nêu trên sẽ phân công cho Chi cục Thuế quản lý theo địa bàn.</w:t>
      </w:r>
    </w:p>
    <w:p>
      <w:r>
        <w:rPr>
          <w:b/>
          <w:i w:val="0"/>
        </w:rPr>
        <w:t>Điều 2.</w:t>
      </w:r>
      <w:r>
        <w:rPr>
          <w:b w:val="0"/>
          <w:i w:val="0"/>
        </w:rPr>
        <w:t xml:space="preserve"> Quyết định này có hiệu lực thi hành kể từ ngày 01 tháng 5 năm 2016 và áp dụng kể từ ngày Thông tư số 127/2015/TT-BTC ngày 21 tháng 8 năm 2015 của Bộ Tài chính hướng dẫn việc cấp mã số doanh nghiệp thành lập mới và phân công cơ quan thuế quản lý đối với doanh nghiệp có hiệu lực thi hành cho đến ngày 31 tháng 12 năm 2016.</w:t>
      </w:r>
    </w:p>
    <w:p>
      <w:r>
        <w:rPr>
          <w:b/>
          <w:i w:val="0"/>
        </w:rPr>
        <w:t>Điều 3.</w:t>
      </w:r>
      <w:r>
        <w:rPr>
          <w:b/>
          <w:i w:val="0"/>
        </w:rPr>
        <w:t xml:space="preserve"> </w:t>
      </w:r>
      <w:r>
        <w:rPr>
          <w:b w:val="0"/>
          <w:i w:val="0"/>
        </w:rPr>
        <w:t>Chánh Văn phòng Ủy ban nhân dân Thành phố, Thủ trưởng các Sở, ban, ngành Thành phố, Chủ tịch Ủy ban nhân dân các quận - huyện và các tổ chức, cá nhân liên quan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Như Điều 3;</w:t>
            </w:r>
            <w:r>
              <w:br/>
            </w:r>
            <w:r>
              <w:rPr>
                <w:b w:val="0"/>
                <w:i w:val="0"/>
              </w:rPr>
              <w:t>- Bộ Tài chính, Tổng cục Thuế;</w:t>
            </w:r>
            <w:r>
              <w:br/>
            </w:r>
            <w:r>
              <w:rPr>
                <w:b w:val="0"/>
                <w:i w:val="0"/>
              </w:rPr>
              <w:t>- Cục Kiểm</w:t>
            </w:r>
            <w:r>
              <w:rPr>
                <w:b w:val="0"/>
                <w:i w:val="0"/>
              </w:rPr>
              <w:t xml:space="preserve"> </w:t>
            </w:r>
            <w:r>
              <w:rPr>
                <w:b w:val="0"/>
                <w:i w:val="0"/>
              </w:rPr>
              <w:t>tr</w:t>
            </w:r>
            <w:r>
              <w:rPr>
                <w:b w:val="0"/>
                <w:i w:val="0"/>
              </w:rPr>
              <w:t>a văn bản - Bộ Tư pháp;</w:t>
            </w:r>
            <w:r>
              <w:br/>
            </w:r>
            <w:r>
              <w:rPr>
                <w:b w:val="0"/>
                <w:i w:val="0"/>
              </w:rPr>
              <w:t>- Thường trực Thành ủy;</w:t>
            </w:r>
            <w:r>
              <w:br/>
            </w:r>
            <w:r>
              <w:rPr>
                <w:b w:val="0"/>
                <w:i w:val="0"/>
              </w:rPr>
              <w:t>- Thường trực HĐND TP;</w:t>
            </w:r>
            <w:r>
              <w:br/>
            </w:r>
            <w:r>
              <w:rPr>
                <w:b w:val="0"/>
                <w:i w:val="0"/>
              </w:rPr>
              <w:t>- TTUB: CT, các PCT;</w:t>
            </w:r>
            <w:r>
              <w:br/>
            </w:r>
            <w:r>
              <w:rPr>
                <w:b w:val="0"/>
                <w:i w:val="0"/>
              </w:rPr>
              <w:t>- Ủy ban MTTQ VN Thành phố;</w:t>
            </w:r>
            <w:r>
              <w:br/>
            </w:r>
            <w:r>
              <w:rPr>
                <w:b w:val="0"/>
                <w:i w:val="0"/>
              </w:rPr>
              <w:t>- Các Đoàn thể Thành phố;</w:t>
            </w:r>
            <w:r>
              <w:br/>
            </w:r>
            <w:r>
              <w:rPr>
                <w:b w:val="0"/>
                <w:i w:val="0"/>
              </w:rPr>
              <w:t>- Các báo, đài TP;</w:t>
            </w:r>
            <w:r>
              <w:br/>
            </w:r>
            <w:r>
              <w:rPr>
                <w:b w:val="0"/>
                <w:i w:val="0"/>
              </w:rPr>
              <w:t>- VPUB: các PVP</w:t>
            </w:r>
            <w:r>
              <w:rPr>
                <w:b w:val="0"/>
                <w:i w:val="0"/>
              </w:rPr>
              <w:t>;</w:t>
            </w:r>
            <w:r>
              <w:br/>
            </w:r>
            <w:r>
              <w:rPr>
                <w:b w:val="0"/>
                <w:i w:val="0"/>
              </w:rPr>
              <w:t>- Phòng TCTMDV, PCNC,</w:t>
            </w:r>
            <w:r>
              <w:rPr>
                <w:b w:val="0"/>
                <w:i w:val="0"/>
              </w:rPr>
              <w:t xml:space="preserve"> </w:t>
            </w:r>
            <w:r>
              <w:rPr>
                <w:b w:val="0"/>
                <w:i w:val="0"/>
              </w:rPr>
              <w:t>TT</w:t>
            </w:r>
            <w:r>
              <w:rPr>
                <w:b w:val="0"/>
                <w:i w:val="0"/>
              </w:rPr>
              <w:t>CB;</w:t>
            </w:r>
            <w:r>
              <w:br/>
            </w:r>
            <w:r>
              <w:rPr>
                <w:b w:val="0"/>
                <w:i w:val="0"/>
              </w:rPr>
              <w:t>- Lưu:</w:t>
            </w:r>
            <w:r>
              <w:rPr>
                <w:b w:val="0"/>
                <w:i w:val="0"/>
              </w:rPr>
              <w:t xml:space="preserve"> </w:t>
            </w:r>
            <w:r>
              <w:rPr>
                <w:b w:val="0"/>
                <w:i w:val="0"/>
              </w:rPr>
              <w:t>V</w:t>
            </w:r>
            <w:r>
              <w:rPr>
                <w:b w:val="0"/>
                <w:i w:val="0"/>
              </w:rPr>
              <w:t>T, (TM/Cg) XP.</w:t>
            </w:r>
          </w:p>
        </w:tc>
        <w:tc>
          <w:tcPr>
            <w:tcW w:type="dxa" w:w="4320"/>
          </w:tcPr>
          <w:p>
            <w:r>
              <w:rPr>
                <w:b w:val="0"/>
                <w:i w:val="0"/>
              </w:rPr>
              <w:br/>
            </w:r>
            <w:r>
              <w:rPr>
                <w:b/>
                <w:i w:val="0"/>
              </w:rPr>
              <w:t>TM. ỦY BAN NHÂN DÂN</w:t>
            </w:r>
            <w:r>
              <w:br/>
            </w:r>
            <w:r>
              <w:rPr>
                <w:b/>
                <w:i w:val="0"/>
              </w:rPr>
              <w:t>KT.</w:t>
            </w:r>
            <w:r>
              <w:rPr>
                <w:b/>
                <w:i w:val="0"/>
              </w:rPr>
              <w:t xml:space="preserve"> </w:t>
            </w:r>
            <w:r>
              <w:rPr>
                <w:b/>
                <w:i w:val="0"/>
              </w:rPr>
              <w:t>CHỦ TỊCH</w:t>
            </w:r>
            <w:r>
              <w:br/>
            </w:r>
            <w:r>
              <w:rPr>
                <w:b/>
                <w:i w:val="0"/>
              </w:rPr>
              <w:br/>
              <w:t xml:space="preserve">         PHÓ</w:t>
            </w:r>
            <w:r>
              <w:rPr>
                <w:b/>
                <w:i w:val="0"/>
              </w:rPr>
              <w:t xml:space="preserve"> </w:t>
            </w:r>
            <w:r>
              <w:rPr>
                <w:b/>
                <w:i w:val="0"/>
              </w:rPr>
              <w:t>CHỦ TỊCH</w:t>
            </w:r>
            <w:r>
              <w:br/>
            </w:r>
            <w:r>
              <w:br/>
            </w:r>
            <w:r>
              <w:rPr>
                <w:b/>
                <w:i w:val="0"/>
              </w:rPr>
              <w:br/>
              <w:t xml:space="preserve">          (Đã ký)</w:t>
            </w:r>
            <w:r>
              <w:br/>
            </w:r>
            <w:r>
              <w:br/>
            </w:r>
            <w:r>
              <w:br/>
            </w:r>
            <w:r>
              <w:rPr>
                <w:b/>
                <w:i w:val="0"/>
              </w:rPr>
              <w:t>Trần Vĩnh Tuyến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