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16/VBHN-BTC Hướng dẫn công tác quản lý tài chính, giao kế hoạch cung ứng dịch vụ công ích bảo đảm hoạt động bay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