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170/2016/NQ-HĐND Quy định tiêu thức phân công cơ quan Thuế quản lý đối với doanh nghiệp trên địa bàn tỉnh</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170/2016/NQ-HĐND</w:t>
        <w:br/>
        <w:t xml:space="preserve">     </w:t>
      </w:r>
      <w:r>
        <w:rPr>
          <w:b w:val="0"/>
          <w:i w:val="0"/>
        </w:rPr>
        <w:br/>
      </w:r>
      <w:r>
        <w:rPr>
          <w:b w:val="0"/>
          <w:i/>
        </w:rPr>
        <w:br/>
        <w:t xml:space="preserve">      Vĩnh Long, ngày 07 tháng 4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170/2016/NQ-HĐND</w:t>
        <w:br/>
        <w:t xml:space="preserve">     </w:t>
      </w:r>
      <w:r>
        <w:rPr>
          <w:b w:val="0"/>
          <w:i w:val="0"/>
        </w:rPr>
        <w:br/>
      </w:r>
      <w:r>
        <w:rPr>
          <w:b w:val="0"/>
          <w:i/>
        </w:rPr>
        <w:br/>
        <w:t xml:space="preserve">      Vĩnh Long, ngày 07 tháng 4 năm 2016</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VĨNH LONG</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VĨNH LONG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170/2016/NQ-HĐND</w:t>
        <w:br/>
        <w:t xml:space="preserve">     </w:t>
      </w:r>
      <w:r>
        <w:rPr>
          <w:b w:val="0"/>
          <w:i w:val="0"/>
        </w:rPr>
        <w:br/>
      </w:r>
      <w:r>
        <w:rPr>
          <w:b w:val="0"/>
          <w:i/>
        </w:rPr>
        <w:br/>
        <w:t xml:space="preserve">      Vĩnh Long, ngày 07 tháng 4 năm 2016</w:t>
        <w:br/>
        <w:t xml:space="preserve">     </w:t>
      </w:r>
      <w:r>
        <w:rPr>
          <w:b w:val="0"/>
          <w:i w:val="0"/>
        </w:rPr>
        <w:br/>
      </w:r>
    </w:p>
    <w:p>
      <w:pPr>
        <w:jc w:val="center"/>
      </w:pPr>
      <w:r>
        <w:rPr>
          <w:b w:val="0"/>
          <w:i w:val="0"/>
        </w:rPr>
        <w:br/>
        <w:t xml:space="preserve">      Số: 170/2016/NQ-HĐND</w:t>
        <w:br/>
        <w:t xml:space="preserve">     </w:t>
      </w:r>
    </w:p>
    <w:p>
      <w:pPr>
        <w:jc w:val="center"/>
      </w:pPr>
      <w:r>
        <w:rPr>
          <w:b w:val="0"/>
          <w:i w:val="0"/>
        </w:rPr>
        <w:br/>
        <w:t xml:space="preserve">      Vĩnh Long, ngày 07 tháng 4 năm 2016</w:t>
        <w:br/>
        <w:t xml:space="preserve">     </w:t>
      </w:r>
    </w:p>
    <w:p>
      <w:r>
        <w:rPr>
          <w:b/>
          <w:i w:val="0"/>
        </w:rPr>
        <w:t>NGHỊ QUYẾT</w:t>
      </w:r>
    </w:p>
    <w:p>
      <w:r>
        <w:rPr>
          <w:b/>
          <w:i w:val="0"/>
        </w:rPr>
        <w:t xml:space="preserve">Quy định tiêu thức phân công cơ quan Thuế quản lý </w:t>
      </w:r>
    </w:p>
    <w:p>
      <w:pPr>
        <w:jc w:val="center"/>
      </w:pPr>
      <w:r>
        <w:rPr>
          <w:b/>
          <w:i w:val="0"/>
        </w:rPr>
        <w:t>đối với doanh nghiệp trên địa bàn tỉnh</w:t>
      </w:r>
    </w:p>
    <w:p>
      <w:pPr>
        <w:jc w:val="center"/>
      </w:pPr>
      <w:r>
        <w:rPr>
          <w:b/>
          <w:i w:val="0"/>
        </w:rPr>
        <w:t>______________</w:t>
      </w:r>
    </w:p>
    <w:p>
      <w:pPr>
        <w:jc w:val="center"/>
      </w:pPr>
      <w:r>
        <w:rPr>
          <w:b/>
          <w:i w:val="0"/>
        </w:rPr>
        <w:t>HỘI ĐỒNG NHÂN DÂN TỈNH VĨNH LONG</w:t>
      </w:r>
    </w:p>
    <w:p>
      <w:pPr>
        <w:jc w:val="center"/>
      </w:pPr>
      <w:r>
        <w:rPr>
          <w:b/>
          <w:i w:val="0"/>
        </w:rPr>
        <w:t>KHÓA VIII, KỲ HỌP THỨ 16</w:t>
      </w:r>
    </w:p>
    <w:p>
      <w:pPr>
        <w:jc w:val="both"/>
      </w:pPr>
      <w:r>
        <w:rPr>
          <w:b w:val="0"/>
          <w:i w:val="0"/>
        </w:rPr>
        <w:t>Căn cứ Luật Tổ chức chính quyền địa phương, ngày 19/06/2015;</w:t>
      </w:r>
    </w:p>
    <w:p>
      <w:pPr>
        <w:jc w:val="both"/>
      </w:pPr>
      <w:r>
        <w:rPr>
          <w:b w:val="0"/>
          <w:i w:val="0"/>
        </w:rPr>
        <w:t>Căn cứ Luật Quản lý thuế số 78/2006/QH11 Luật sửa đổi bổ sung một số điều của Luật Quản lý thuế số 21/2012/QH13;</w:t>
      </w:r>
    </w:p>
    <w:p>
      <w:pPr>
        <w:jc w:val="both"/>
      </w:pPr>
      <w:r>
        <w:rPr>
          <w:b w:val="0"/>
          <w:i w:val="0"/>
        </w:rPr>
        <w:t>Căn cứ Thông tư số 127/2015/TT-BTC ngày 21 tháng 8 năm 2015 của Bộ Tài chính về việc hướng dẫn việc cấp mã số doanh nghiệp thành lập mới và phân công cơ quan Thuế quản lý đối với doanh nghiệp.</w:t>
      </w:r>
    </w:p>
    <w:p>
      <w:pPr>
        <w:jc w:val="both"/>
      </w:pPr>
      <w:r>
        <w:rPr>
          <w:b w:val="0"/>
          <w:i w:val="0"/>
        </w:rPr>
        <w:t>Sau khi xem xét Tờ trình số 05/TTr-UBND ngày 02/02/2016 của Ủy ban nhân dân tỉnh về việc quy định tiêu thức phân công cơ quan Thuế quản lý đối với doanh nghiệp trên địa bàn tỉnh Vĩnh Long; Báo cáo thẩm tra của Ban Kinh tế ngân sách; Đại biểu hội đồng nhân dân tỉnh thảo luận và thống nhất,</w:t>
      </w:r>
    </w:p>
    <w:p>
      <w:pPr>
        <w:jc w:val="center"/>
      </w:pPr>
      <w:r>
        <w:rPr>
          <w:b/>
          <w:i w:val="0"/>
        </w:rPr>
        <w:t>QUYẾT NGHỊ:</w:t>
      </w:r>
    </w:p>
    <w:p>
      <w:r>
        <w:rPr>
          <w:b/>
          <w:i w:val="0"/>
        </w:rPr>
        <w:t>Điều 1. Quy định tiêu thức phân công cơ quan Thuế quản lý đối với doanh nghiệp trên địa bàn tỉnh.</w:t>
      </w:r>
    </w:p>
    <w:p>
      <w:r>
        <w:rPr>
          <w:b w:val="0"/>
          <w:i w:val="0"/>
        </w:rPr>
        <w:t>1. Các tiêu thức phân cấp Cục Thuế quản lý doanh nghiệp</w:t>
      </w:r>
    </w:p>
    <w:p>
      <w:r>
        <w:rPr>
          <w:b w:val="0"/>
          <w:i w:val="0"/>
        </w:rPr>
        <w:t>1. 1. Tiêu thức phân cấp theo loại hình doanh nghiệp và quy mô vốn điều lệ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Tiêu Thức</w:t>
            </w:r>
          </w:p>
        </w:tc>
        <w:tc>
          <w:tcPr>
            <w:tcW w:type="dxa" w:w="2160"/>
          </w:tcPr>
          <w:p>
            <w:r>
              <w:rPr>
                <w:b w:val="0"/>
                <w:i w:val="0"/>
              </w:rPr>
              <w:br/>
            </w:r>
            <w:r>
              <w:rPr>
                <w:b w:val="0"/>
                <w:i w:val="0"/>
              </w:rPr>
              <w:t>Tham số</w:t>
            </w:r>
          </w:p>
        </w:tc>
        <w:tc>
          <w:tcPr>
            <w:tcW w:type="dxa" w:w="2160"/>
          </w:tcPr>
          <w:p>
            <w:r>
              <w:rPr>
                <w:b w:val="0"/>
                <w:i w:val="0"/>
              </w:rPr>
              <w:br/>
            </w:r>
            <w:r>
              <w:rPr>
                <w:b/>
                <w:i w:val="0"/>
              </w:rPr>
              <w:t>Ghi chú</w:t>
            </w:r>
          </w:p>
        </w:tc>
      </w:tr>
    </w:tbl>
    <w:p>
      <w:pPr>
        <w:jc w:val="both"/>
      </w:pPr>
      <w:r>
        <w:rPr>
          <w:b w:val="0"/>
          <w:i w:val="0"/>
        </w:rPr>
        <w:t>1. 2. Tiêu thức phân cấp theo ngành nghề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Mã ngành</w:t>
            </w:r>
          </w:p>
        </w:tc>
        <w:tc>
          <w:tcPr>
            <w:tcW w:type="dxa" w:w="2160"/>
          </w:tcPr>
          <w:p>
            <w:r>
              <w:rPr>
                <w:b w:val="0"/>
                <w:i w:val="0"/>
              </w:rPr>
              <w:br/>
            </w:r>
            <w:r>
              <w:rPr>
                <w:b/>
                <w:i w:val="0"/>
              </w:rPr>
              <w:t>Tên ngành</w:t>
            </w:r>
          </w:p>
        </w:tc>
        <w:tc>
          <w:tcPr>
            <w:tcW w:type="dxa" w:w="2160"/>
          </w:tcPr>
          <w:p>
            <w:r>
              <w:rPr>
                <w:b w:val="0"/>
                <w:i w:val="0"/>
              </w:rPr>
              <w:br/>
            </w:r>
            <w:r>
              <w:rPr>
                <w:b/>
                <w:i w:val="0"/>
              </w:rPr>
              <w:t>Chọn</w:t>
            </w:r>
          </w:p>
        </w:tc>
      </w:tr>
    </w:tbl>
    <w:p>
      <w:pPr>
        <w:jc w:val="both"/>
      </w:pPr>
      <w:r>
        <w:rPr>
          <w:b w:val="0"/>
          <w:i w:val="0"/>
        </w:rPr>
        <w:t>2. Chi cục Thuế trực tiếp quản lý các doanh nghiệp còn lại có địa điểm hoạt động sản xuất kinh doanh trên địa bàn cấp huyện.</w:t>
      </w:r>
    </w:p>
    <w:p>
      <w:pPr>
        <w:jc w:val="both"/>
      </w:pPr>
      <w:r>
        <w:rPr>
          <w:b w:val="0"/>
          <w:i w:val="0"/>
        </w:rPr>
        <w:t>3. Các doanh nghiệp, tổ chức thành lập được cấp mã số doanh nghiệp và phân công Chi cục Thuế quản lý theo hướng dẫn tại Thông tư số 127/2015/TT-BTC ngày 21/8/2015 của Bộ Tài chính, sau đó có hoạt động sản xuất kinh doanh xuất khẩu thường xuyên thuộc đối tượng và các trường hợp được hoàn thuế giá trị gia tăng (phát sinh hoàn thuế giá trị gia tăng) theo quy định thì thực hiện phân công Cục Thuế quản lý đối với những nhiệm vụ liên quan đến hoàn thuế theo các quy định của Luật Quản lý thuế về thẩm quyền ra quyết định hoàn thuế.</w:t>
      </w:r>
    </w:p>
    <w:p>
      <w:pPr>
        <w:jc w:val="both"/>
      </w:pPr>
      <w:r>
        <w:rPr>
          <w:b w:val="0"/>
          <w:i w:val="0"/>
        </w:rPr>
        <w:t>4. Doanh nghiệp, tổ chức đang hoạt động đã được phân công cơ quan Thuế quản lý (Cục Thuế hoặc Chi cục Thuế trực tiếp quản lý) trước thời điểm Thông tư số 127/2015/TT-BTC ngày 21/8/2015 có hiệu lực vẫn được giữ nguyên.</w:t>
      </w:r>
    </w:p>
    <w:p>
      <w:pPr>
        <w:jc w:val="both"/>
      </w:pPr>
      <w:r>
        <w:rPr>
          <w:b w:val="0"/>
          <w:i w:val="0"/>
        </w:rPr>
        <w:t xml:space="preserve"> Việc phân công cơ quan Thuế quản lý đối với Doanh nghiệp thành lập mới theo hướng dẫn tại Thông tư 127/2015/TT-BTC ngày 21/8/2015 được thực hiện đến 31/12/2016.</w:t>
      </w:r>
    </w:p>
    <w:p>
      <w:pPr>
        <w:jc w:val="both"/>
      </w:pPr>
      <w:r>
        <w:rPr>
          <w:b/>
          <w:i w:val="0"/>
        </w:rPr>
        <w:t xml:space="preserve">Điều 2. </w:t>
      </w:r>
      <w:r>
        <w:rPr>
          <w:b w:val="0"/>
          <w:i w:val="0"/>
        </w:rPr>
        <w:t>Giao Ủy ban nhân dân tỉnh tổ chức, triển khai thực hiện Nghị quyết .</w:t>
      </w:r>
    </w:p>
    <w:p>
      <w:pPr>
        <w:jc w:val="both"/>
      </w:pPr>
      <w:r>
        <w:rPr>
          <w:b/>
          <w:i w:val="0"/>
        </w:rPr>
        <w:t xml:space="preserve">Điều 3. </w:t>
      </w:r>
      <w:r>
        <w:rPr>
          <w:b w:val="0"/>
          <w:i w:val="0"/>
        </w:rPr>
        <w:t>Thường trực Hội đồng nhân dân, phối hợp với Ủy ban Mặt trận Tổ quốc tỉnh, các Ban của Hội đồng nhân dân và các đại biểu Hội đồng nhân dân tỉnh giám sát việc thực hiện Nghị quyết.</w:t>
      </w:r>
    </w:p>
    <w:p>
      <w:pPr>
        <w:jc w:val="both"/>
      </w:pPr>
      <w:r>
        <w:rPr>
          <w:b w:val="0"/>
          <w:i w:val="0"/>
        </w:rPr>
        <w:t>Nghị quyết này được Hội đồng nhân dân tỉnh Vĩnh Long khóa VIII, kỳ họp thứ 16 thông qua ngày 07/4/ 2016, có hiệu lực sau 10 ngày kể từ ngày thông qua và được đăng công báo tỉnh./.</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Trương Văn Sáu</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Trương Văn Sáu</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Trương Văn Sáu</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Trương Văn Sáu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