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172/1999/QĐ-TTg Về việc các tổ chức tín dụng thành lập Công ty chứng khoán và tham gia niêm yết chứng khoán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172/1999/QĐ-TTg</w:t>
      </w:r>
      <w:r>
        <w:rPr>
          <w:b w:val="0"/>
          <w:i w:val="0"/>
        </w:rPr>
        <w:br/>
      </w:r>
      <w:r>
        <w:rPr>
          <w:b w:val="0"/>
          <w:i w:val="0"/>
        </w:rPr>
        <w:br/>
      </w:r>
      <w:r>
        <w:rPr>
          <w:b w:val="0"/>
          <w:i/>
        </w:rPr>
        <w:t>Hà Nội, ngày 19 tháng 8 năm 1999</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các tổ chức tín dụng thành lập Công ty </w:t>
      </w:r>
      <w:r>
        <w:rPr>
          <w:b w:val="0"/>
          <w:i w:val="0"/>
        </w:rPr>
        <w:br/>
      </w:r>
      <w:r>
        <w:rPr>
          <w:b/>
          <w:i w:val="0"/>
        </w:rPr>
        <w:t>chứng khoán và tham gia niêm yết chứng khoán</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Luật các tổ chức tín dụng số 02/1997/QH10 ngày 12 tháng 12 năm 1997;</w:t>
      </w:r>
      <w:r>
        <w:rPr>
          <w:b w:val="0"/>
          <w:i w:val="0"/>
        </w:rPr>
        <w:br/>
      </w:r>
      <w:r>
        <w:rPr>
          <w:b w:val="0"/>
          <w:i/>
        </w:rPr>
        <w:t>Căn cứ Nghị định số 48/1998/NĐ-CP ngày 11 tháng 7 năm 1998 của Chính phủ về Chứng khoán và Thị trường chứng khoán;</w:t>
      </w:r>
      <w:r>
        <w:rPr>
          <w:b w:val="0"/>
          <w:i w:val="0"/>
        </w:rPr>
        <w:br/>
      </w:r>
      <w:r>
        <w:rPr>
          <w:b w:val="0"/>
          <w:i/>
        </w:rPr>
        <w:t>Xét đề nghị của ủy ban Chứng khoán Nhà nước (công văn số 92/UBCK3 ngày 17 tháng 7 năm 1999), ý kiến của Ngân hàng Nhà nước Việt Nam (công văn số 724/CV-NHNN5 ngày 06 tháng 8 năm 1999),</w:t>
      </w:r>
      <w:r>
        <w:rPr>
          <w:b w:val="0"/>
          <w:i w:val="0"/>
        </w:rPr>
        <w:br/>
      </w:r>
      <w:r>
        <w:rPr>
          <w:b/>
          <w:i w:val="0"/>
        </w:rPr>
        <w:t>QUYẾT ĐỊNH:</w:t>
      </w:r>
      <w:r>
        <w:rPr>
          <w:b w:val="0"/>
          <w:i w:val="0"/>
        </w:rPr>
        <w:br/>
      </w:r>
      <w:r>
        <w:rPr>
          <w:b/>
          <w:i w:val="0"/>
        </w:rPr>
        <w:t>Điều 1.</w:t>
      </w:r>
      <w:r>
        <w:rPr>
          <w:b w:val="0"/>
          <w:i w:val="0"/>
        </w:rPr>
        <w:t xml:space="preserve"> Cho phép các tổ chức tín dụng được thành lập Công ty chứng khoán trực thuộc có tư cách pháp nhân, hạch toán độc lập; Chủ tịch Hội đồng Quản trị của tổ chức tín dụng Quyết định thành lập Công ty chứng khoán sau khi có sự chấp thuận của Ngân hàng Nhà nước Việt Nam.</w:t>
      </w:r>
      <w:r>
        <w:rPr>
          <w:b w:val="0"/>
          <w:i w:val="0"/>
        </w:rPr>
        <w:br/>
      </w:r>
      <w:r>
        <w:rPr>
          <w:b/>
          <w:i w:val="0"/>
        </w:rPr>
        <w:t>Điều 2.</w:t>
      </w:r>
      <w:r>
        <w:rPr>
          <w:b w:val="0"/>
          <w:i w:val="0"/>
        </w:rPr>
        <w:t xml:space="preserve"> Giao Ngân hàng Nhà nước Việt Nam quy định việc chuyển nhượng cổ phần của ngân hàng thương mại cổ phần và các quy định có liên quan, để tạo điều kiện cho ngân hàng đủ tiêu chuẩn tham gia niêm yết cổ phiếu tại Trung tâm giao dịch chứng khoán.</w:t>
      </w:r>
      <w:r>
        <w:rPr>
          <w:b w:val="0"/>
          <w:i w:val="0"/>
        </w:rPr>
        <w:br/>
      </w:r>
      <w:r>
        <w:rPr>
          <w:b/>
          <w:i w:val="0"/>
        </w:rPr>
        <w:t>Điều 3.</w:t>
      </w:r>
      <w:r>
        <w:rPr>
          <w:b w:val="0"/>
          <w:i w:val="0"/>
        </w:rPr>
        <w:t xml:space="preserve"> Giao Bộ Tài chính nghiên cứu hướng dẫn cơ chế tài chính và hỗ trợ tài chính cho các Công ty chứng khoán thuộc tổ chức tín dụng và các công ty chứng khoán thuộc Tổng công ty, trong thời gian 3 năm đầu hoạt động.</w:t>
      </w:r>
      <w:r>
        <w:rPr>
          <w:b w:val="0"/>
          <w:i w:val="0"/>
        </w:rPr>
        <w:br/>
      </w:r>
      <w:r>
        <w:rPr>
          <w:b/>
          <w:i w:val="0"/>
        </w:rPr>
        <w:t>Điều 4.</w:t>
      </w:r>
      <w:r>
        <w:rPr>
          <w:b w:val="0"/>
          <w:i w:val="0"/>
        </w:rPr>
        <w:t xml:space="preserve"> Quyết định này có hiệu lực thi hành kể từ ngày ký.</w:t>
      </w:r>
      <w:r>
        <w:rPr>
          <w:b w:val="0"/>
          <w:i w:val="0"/>
        </w:rPr>
        <w:br/>
      </w:r>
      <w:r>
        <w:rPr>
          <w:b/>
          <w:i w:val="0"/>
        </w:rPr>
        <w:t>Điều 5.</w:t>
      </w:r>
      <w:r>
        <w:rPr>
          <w:b w:val="0"/>
          <w:i w:val="0"/>
        </w:rPr>
        <w:t xml:space="preserve"> Bộ trưởng Bộ Tài chính, Thống đốc Ngân hàng Nhà nước, Chủ tịch ủy ban Chứng khoán Nhà nước, Chủ tịch Hội đồng quản trị các tổ chức tín dụng và các Tổng công ty có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