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175/2012/TT-BTC Hướng dẫn gia hạn nộp thuế giá trị gia tăng theo Nghị quyết số 67/NQ-CP ngày 05/10/2012 của Chính phủ</w:t>
      </w:r>
    </w:p>
    <w:p>
      <w:r>
        <w:rPr>
          <w:b w:val="0"/>
          <w:i w:val="0"/>
        </w:rPr>
        <w:br/>
      </w:r>
      <w:r>
        <w:rPr>
          <w:b w:val="0"/>
          <w:i w:val="0"/>
        </w:rPr>
        <w:br/>
      </w:r>
      <w:r>
        <w:rPr>
          <w:b w:val="0"/>
          <w:i w:val="0"/>
        </w:rPr>
        <w:br/>
      </w:r>
      <w:r>
        <w:rPr>
          <w:b w:val="0"/>
          <w:i w:val="0"/>
        </w:rPr>
        <w:br/>
      </w:r>
      <w:r>
        <w:rPr>
          <w:b w:val="0"/>
          <w:i w:val="0"/>
        </w:rPr>
        <w:br/>
      </w:r>
      <w:r>
        <w:rPr>
          <w:b/>
          <w:i w:val="0"/>
        </w:rPr>
        <w:t>BỘ TÀI CHÍNH</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br/>
      </w:r>
      <w:r>
        <w:rPr>
          <w:b w:val="0"/>
          <w:i w:val="0"/>
        </w:rPr>
        <w:br/>
      </w:r>
      <w:r>
        <w:rPr>
          <w:b w:val="0"/>
          <w:i w:val="0"/>
        </w:rPr>
        <w:br/>
      </w:r>
      <w:r>
        <w:rPr>
          <w:b w:val="0"/>
          <w:i w:val="0"/>
        </w:rPr>
        <w:t>Số: 175/2012/TT-BTC</w:t>
      </w:r>
      <w:r>
        <w:rPr>
          <w:b w:val="0"/>
          <w:i w:val="0"/>
        </w:rPr>
        <w:br/>
      </w:r>
      <w:r>
        <w:rPr>
          <w:b w:val="0"/>
          <w:i w:val="0"/>
        </w:rPr>
        <w:br/>
      </w:r>
      <w:r>
        <w:rPr>
          <w:b w:val="0"/>
          <w:i/>
        </w:rPr>
        <w:t>Hà Nội, ngày   22    tháng  10  năm 2012</w:t>
      </w:r>
      <w:r>
        <w:rPr>
          <w:b w:val="0"/>
          <w:i w:val="0"/>
        </w:rPr>
        <w:br/>
      </w:r>
      <w:r>
        <w:rPr>
          <w:b w:val="0"/>
          <w:i w:val="0"/>
        </w:rPr>
        <w:br/>
      </w:r>
      <w:r>
        <w:rPr>
          <w:b w:val="0"/>
          <w:i w:val="0"/>
        </w:rPr>
        <w:br/>
      </w:r>
      <w:r>
        <w:rPr>
          <w:b w:val="0"/>
          <w:i w:val="0"/>
        </w:rPr>
        <w:br/>
      </w:r>
      <w:r>
        <w:rPr>
          <w:b/>
          <w:i w:val="0"/>
        </w:rPr>
        <w:t xml:space="preserve"> </w:t>
      </w:r>
      <w:r>
        <w:rPr>
          <w:b/>
          <w:i w:val="0"/>
        </w:rPr>
        <w:t xml:space="preserve"> </w:t>
      </w:r>
      <w:r>
        <w:rPr>
          <w:b w:val="0"/>
          <w:i w:val="0"/>
        </w:rPr>
        <w:br/>
      </w:r>
      <w:r>
        <w:rPr>
          <w:b/>
          <w:i w:val="0"/>
        </w:rPr>
        <w:t>THÔNG TƯ</w:t>
      </w:r>
      <w:r>
        <w:rPr>
          <w:b w:val="0"/>
          <w:i w:val="0"/>
        </w:rPr>
        <w:br/>
      </w:r>
      <w:r>
        <w:rPr>
          <w:b/>
          <w:i w:val="0"/>
        </w:rPr>
        <w:t xml:space="preserve">Hướng dẫn gia hạn nộp thuế giá trị gia tăng </w:t>
      </w:r>
      <w:r>
        <w:rPr>
          <w:b w:val="0"/>
          <w:i w:val="0"/>
        </w:rPr>
        <w:br/>
      </w:r>
      <w:r>
        <w:rPr>
          <w:b/>
          <w:i w:val="0"/>
        </w:rPr>
        <w:t>theo Nghị quyết số 67/NQ-CP ngày 05/10/2012 của Chính phủ</w:t>
      </w:r>
      <w:r>
        <w:rPr>
          <w:b w:val="0"/>
          <w:i w:val="0"/>
        </w:rPr>
        <w:br/>
      </w:r>
      <w:r>
        <w:rPr>
          <w:b w:val="0"/>
          <w:i w:val="0"/>
        </w:rPr>
        <w:t>-------------------------</w:t>
      </w:r>
      <w:r>
        <w:rPr>
          <w:b w:val="0"/>
          <w:i w:val="0"/>
        </w:rPr>
        <w:br/>
      </w:r>
      <w:r>
        <w:rPr>
          <w:b w:val="0"/>
          <w:i w:val="0"/>
        </w:rPr>
        <w:t xml:space="preserve"> </w:t>
      </w:r>
      <w:r>
        <w:rPr>
          <w:b w:val="0"/>
          <w:i w:val="0"/>
        </w:rPr>
        <w:br/>
      </w:r>
      <w:r>
        <w:rPr>
          <w:b w:val="0"/>
          <w:i w:val="0"/>
        </w:rPr>
        <w:t xml:space="preserve"> </w:t>
      </w:r>
      <w:r>
        <w:rPr>
          <w:b w:val="0"/>
          <w:i/>
        </w:rPr>
        <w:t>Căn cứ Luật Thuế giá trị gia tăng số 13/2008/QH12 ngày 03 tháng 6 năm 2008;</w:t>
      </w:r>
      <w:r>
        <w:rPr>
          <w:b w:val="0"/>
          <w:i w:val="0"/>
        </w:rPr>
        <w:br/>
      </w:r>
      <w:r>
        <w:rPr>
          <w:b w:val="0"/>
          <w:i/>
        </w:rPr>
        <w:t xml:space="preserve"> </w:t>
      </w:r>
      <w:r>
        <w:rPr>
          <w:b w:val="0"/>
          <w:i/>
        </w:rPr>
        <w:t>Căn cứ Luật Quản lý thuế số 78/2006/QH11 ngày 29 tháng 11 năm 2006;</w:t>
      </w:r>
      <w:r>
        <w:rPr>
          <w:b w:val="0"/>
          <w:i w:val="0"/>
        </w:rPr>
        <w:br/>
      </w:r>
      <w:r>
        <w:rPr>
          <w:b w:val="0"/>
          <w:i/>
        </w:rPr>
        <w:t xml:space="preserve"> </w:t>
      </w:r>
      <w:r>
        <w:rPr>
          <w:b w:val="0"/>
          <w:i/>
        </w:rPr>
        <w:t>Căn cứ Nghị định số 118/2008/NĐ-CP ngày 27 tháng 11 năm 2008 của Chính phủ quy định chức năng, nhiệm vụ, quyền hạn và cơ cấu tổ chức của Bộ Tài chính;</w:t>
      </w:r>
      <w:r>
        <w:rPr>
          <w:b w:val="0"/>
          <w:i w:val="0"/>
        </w:rPr>
        <w:br/>
      </w:r>
      <w:r>
        <w:rPr>
          <w:b w:val="0"/>
          <w:i/>
        </w:rPr>
        <w:t>Xét đề nghị của Tổng cục trưởng Tổng cục Thuế,</w:t>
      </w:r>
      <w:r>
        <w:rPr>
          <w:b w:val="0"/>
          <w:i w:val="0"/>
        </w:rPr>
        <w:br/>
      </w:r>
      <w:r>
        <w:rPr>
          <w:b w:val="0"/>
          <w:i/>
        </w:rPr>
        <w:t>Bộ trưỏng Bộ Tài chính hướng dẫn thực hiện</w:t>
      </w:r>
      <w:r>
        <w:rPr>
          <w:b w:val="0"/>
          <w:i/>
        </w:rPr>
        <w:t xml:space="preserve"> </w:t>
      </w:r>
      <w:r>
        <w:rPr>
          <w:b w:val="0"/>
          <w:i/>
        </w:rPr>
        <w:t xml:space="preserve">Nghị quyết số 67/NQ-CP ngày 05 tháng 10 năm 2012 của Chính phủ </w:t>
      </w:r>
      <w:r>
        <w:rPr>
          <w:b w:val="0"/>
          <w:i/>
        </w:rPr>
        <w:t>như sau:</w:t>
      </w:r>
      <w:r>
        <w:rPr>
          <w:b w:val="0"/>
          <w:i w:val="0"/>
        </w:rPr>
        <w:br/>
      </w:r>
      <w:r>
        <w:rPr>
          <w:b/>
          <w:i w:val="0"/>
        </w:rPr>
        <w:t>Điều 1. Gia hạn nộp thuế giá trị gia tăng</w:t>
      </w:r>
      <w:r>
        <w:rPr>
          <w:b w:val="0"/>
          <w:i w:val="0"/>
        </w:rPr>
        <w:br/>
      </w:r>
      <w:r>
        <w:rPr>
          <w:b/>
          <w:i w:val="0"/>
        </w:rPr>
        <w:t xml:space="preserve">1. </w:t>
      </w:r>
      <w:r>
        <w:rPr>
          <w:b w:val="0"/>
          <w:i w:val="0"/>
        </w:rPr>
        <w:t>Số thuế GTGT phải nộp của tháng 6 năm 2012 đã được gia hạn nộp đến tháng 01 năm 2013 theo Nghị quyết số 13/NQ-CP ngày 13/5/2012 và Thông tư số 83/2012/TT-BTC ngày 23/5/2012 tiếp tục gia hạn nộp đến tháng 4 năm 2013.</w:t>
      </w:r>
      <w:r>
        <w:rPr>
          <w:b w:val="0"/>
          <w:i w:val="0"/>
        </w:rPr>
        <w:br/>
      </w:r>
      <w:r>
        <w:rPr>
          <w:b/>
          <w:i w:val="0"/>
        </w:rPr>
        <w:t>2.</w:t>
      </w:r>
      <w:r>
        <w:rPr>
          <w:b w:val="0"/>
          <w:i w:val="0"/>
        </w:rPr>
        <w:t xml:space="preserve"> Các doanh nghiệp đang thực hiện nộp thuế GTGT theo phương pháp khấu trừ được gia hạn nộp thuế GTGT bao gồm:</w:t>
      </w:r>
      <w:r>
        <w:rPr>
          <w:b w:val="0"/>
          <w:i w:val="0"/>
        </w:rPr>
        <w:br/>
      </w:r>
      <w:r>
        <w:rPr>
          <w:b w:val="0"/>
          <w:i w:val="0"/>
        </w:rPr>
        <w:t>a) Doanh nghiệp nhỏ và vừa, bao gồm cả hợp tác xã (sau đây gọi chung là doanh nghiệp nhỏ và vừa), không bao gồm doanh nghiệp nhỏ và vừa kinh doanh trong các lĩnh vực: xổ số, chứng khoán, tài chính, ngân hàng, bảo hiểm, sản xuất hàng hóa, dịch vụ thuộc diện chịu thuế tiêu thụ đặc biệt và doanh nghiệp được xếp hạng 1, hạng đặc biệt thuộc các Tập đoàn kinh tế, Tổng công ty.</w:t>
      </w:r>
      <w:r>
        <w:rPr>
          <w:b w:val="0"/>
          <w:i w:val="0"/>
        </w:rPr>
        <w:br/>
      </w:r>
      <w:r>
        <w:rPr>
          <w:b w:val="0"/>
          <w:i w:val="0"/>
        </w:rPr>
        <w:t>b) Doanh nghiệp trong lĩnh vực sản xuất, gia công, chế biến: nông sản, lâm sản, thuỷ sản, dệt may, da giày, linh kiện điện tử; xây dựng các công trình hạ tầng kinh tế - xã hội có sử dụng nhiều lao động  (sau đây gọi chung là doanh nghiệp sử dụng nhiều lao động).</w:t>
      </w:r>
      <w:r>
        <w:rPr>
          <w:b w:val="0"/>
          <w:i w:val="0"/>
        </w:rPr>
        <w:br/>
      </w:r>
      <w:r>
        <w:rPr>
          <w:b/>
          <w:i w:val="0"/>
        </w:rPr>
        <w:t xml:space="preserve">3. </w:t>
      </w:r>
      <w:r>
        <w:rPr>
          <w:b w:val="0"/>
          <w:i w:val="0"/>
        </w:rPr>
        <w:t>Tiêu thức xác định doanh nghiệp nhỏ và vừa, doanh nghiệp trong lĩnh vực sản xuất, gia công, chế biến: nông sản, lâm sản, thuỷ sản, dệt may, da giày, linh kiện điện tử; xây dựng các công trình hạ tầng kinh tế - xã hội có sử dụng nhiều lao động, cách xác định số thuế GTGT được gia hạn thực hiện theo hướng dẫn tại khoản 2, khoản 3, khoản 4 Điều 1 Thông tư số 83/2012/TT-BTC ngày 23/5/2012 của Bộ Tài chính.</w:t>
      </w:r>
      <w:r>
        <w:rPr>
          <w:b w:val="0"/>
          <w:i w:val="0"/>
        </w:rPr>
        <w:br/>
      </w:r>
      <w:r>
        <w:rPr>
          <w:b/>
          <w:i w:val="0"/>
        </w:rPr>
        <w:t>4.</w:t>
      </w:r>
      <w:r>
        <w:rPr>
          <w:b w:val="0"/>
          <w:i w:val="0"/>
        </w:rPr>
        <w:t xml:space="preserve"> Thời hạn nộp thuế GTGT tháng 6 năm 2012 chậm nhất là ngày 22/4/2013.</w:t>
      </w:r>
      <w:r>
        <w:rPr>
          <w:b w:val="0"/>
          <w:i w:val="0"/>
        </w:rPr>
        <w:br/>
      </w:r>
      <w:r>
        <w:rPr>
          <w:b/>
          <w:i w:val="0"/>
        </w:rPr>
        <w:t xml:space="preserve">Điều </w:t>
      </w:r>
      <w:r>
        <w:rPr>
          <w:b/>
          <w:i w:val="0"/>
        </w:rPr>
        <w:t>2</w:t>
      </w:r>
      <w:r>
        <w:rPr>
          <w:b/>
          <w:i w:val="0"/>
        </w:rPr>
        <w:t>. Trách nhiệm thi hành</w:t>
      </w:r>
      <w:r>
        <w:rPr>
          <w:b w:val="0"/>
          <w:i w:val="0"/>
        </w:rPr>
        <w:br/>
      </w:r>
      <w:r>
        <w:rPr>
          <w:b/>
          <w:i w:val="0"/>
        </w:rPr>
        <w:t>1.</w:t>
      </w:r>
      <w:r>
        <w:rPr>
          <w:b w:val="0"/>
          <w:i w:val="0"/>
        </w:rPr>
        <w:t xml:space="preserve"> Cơ quan thuế các cấp có trách nhiệm phổ biến, hướng dẫn các doanh nghiệp thuộc đối tượng được gia hạn thực hiện theo nội dung Thông tư này.</w:t>
      </w:r>
      <w:r>
        <w:rPr>
          <w:b w:val="0"/>
          <w:i w:val="0"/>
        </w:rPr>
        <w:br/>
      </w:r>
      <w:r>
        <w:rPr>
          <w:b/>
          <w:i w:val="0"/>
        </w:rPr>
        <w:t>2.</w:t>
      </w:r>
      <w:r>
        <w:rPr>
          <w:b w:val="0"/>
          <w:i w:val="0"/>
        </w:rPr>
        <w:t xml:space="preserve"> Doanh nghiệp thuộc đối tượng điều chỉnh của Thông tư này thực hiện theo hướng dẫn tại Thông tư này.</w:t>
      </w:r>
      <w:r>
        <w:rPr>
          <w:b w:val="0"/>
          <w:i w:val="0"/>
        </w:rPr>
        <w:br/>
      </w:r>
      <w:r>
        <w:rPr>
          <w:b w:val="0"/>
          <w:i w:val="0"/>
        </w:rPr>
        <w:t>Trong quá trình thực hiện nếu có vướng mắc, đề nghị các Cục thuế, doanh nghiệp phản ánh kịp thời về Bộ Tài chính để nghiên cứu giải quyết./.</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i w:val="0"/>
        </w:rPr>
        <w:t>KT. BỘ TRƯỞNG</w:t>
      </w:r>
      <w:r>
        <w:rPr>
          <w:b w:val="0"/>
          <w:i w:val="0"/>
        </w:rPr>
        <w:br/>
      </w:r>
      <w:r>
        <w:rPr>
          <w:b/>
          <w:i w:val="0"/>
        </w:rPr>
        <w:t>THỨ TRƯỞNG</w:t>
      </w:r>
      <w:r>
        <w:rPr>
          <w:b w:val="0"/>
          <w:i w:val="0"/>
        </w:rPr>
        <w:br/>
      </w:r>
      <w:r>
        <w:rPr>
          <w:b w:val="0"/>
          <w:i w:val="0"/>
        </w:rPr>
        <w:t>(đã ký)</w:t>
      </w:r>
      <w:r>
        <w:rPr>
          <w:b w:val="0"/>
          <w:i w:val="0"/>
        </w:rPr>
        <w:br/>
      </w:r>
      <w:r>
        <w:rPr>
          <w:b/>
          <w:i w:val="0"/>
        </w:rPr>
        <w:t>Đỗ Hoàng Anh Tuấn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KT. BỘ TRƯỞNG</w:t>
            </w:r>
            <w:r>
              <w:rPr>
                <w:b w:val="0"/>
                <w:i w:val="0"/>
              </w:rPr>
              <w:br/>
            </w:r>
            <w:r>
              <w:rPr>
                <w:b/>
                <w:i w:val="0"/>
              </w:rPr>
              <w:t>THỨ TRƯỞNG</w:t>
            </w:r>
            <w:r>
              <w:rPr>
                <w:b w:val="0"/>
                <w:i w:val="0"/>
              </w:rPr>
              <w:br/>
            </w:r>
            <w:r>
              <w:rPr>
                <w:b w:val="0"/>
                <w:i w:val="0"/>
              </w:rPr>
              <w:t>(đã ký)</w:t>
            </w:r>
            <w:r>
              <w:rPr>
                <w:b w:val="0"/>
                <w:i w:val="0"/>
              </w:rPr>
              <w:br/>
            </w:r>
            <w:r>
              <w:rPr>
                <w:b/>
                <w:i w:val="0"/>
              </w:rPr>
              <w:t>Đỗ Hoàng Anh Tuấn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