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17CT-UB Về tăng cường thực hiện Nghị quyết 05/CP của Chính phủ và Chỉ thị 406/TTg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ĐÀ NẴNG</w:t>
            </w:r>
            <w:r>
              <w:rPr>
                <w:b w:val="0"/>
                <w:i w:val="0"/>
              </w:rPr>
              <w:br/>
            </w:r>
            <w:r>
              <w:rPr>
                <w:b/>
                <w:i w:val="0"/>
              </w:rPr>
              <w:t>__________</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___________</w:t>
            </w:r>
          </w:p>
        </w:tc>
      </w:tr>
    </w:tbl>
    <w:p>
      <w:pPr>
        <w:jc w:val="center"/>
      </w:pPr>
      <w:r>
        <w:rPr>
          <w:b/>
          <w:i w:val="0"/>
        </w:rPr>
        <w:t>CHỈ THỊ CỦA CHỦ TỊCH ỦY BAN</w:t>
      </w:r>
    </w:p>
    <w:p>
      <w:pPr>
        <w:jc w:val="center"/>
      </w:pPr>
      <w:r>
        <w:rPr>
          <w:b/>
          <w:i w:val="0"/>
        </w:rPr>
        <w:t>NHÂN DÂN THÀNH PHỐ ĐÀ NẴNG</w:t>
      </w:r>
    </w:p>
    <w:p>
      <w:pPr>
        <w:jc w:val="center"/>
      </w:pPr>
      <w:r>
        <w:rPr>
          <w:b/>
          <w:i w:val="0"/>
        </w:rPr>
        <w:t xml:space="preserve">Về tăng cường thực hiện Nghị quyết 05/CP của Chính phủ và Chỉ thị </w:t>
      </w:r>
    </w:p>
    <w:p>
      <w:pPr>
        <w:jc w:val="center"/>
      </w:pPr>
      <w:r>
        <w:rPr>
          <w:b/>
          <w:i w:val="0"/>
        </w:rPr>
        <w:t>406/TTg của Thủ tướng Chính phủ</w:t>
      </w:r>
    </w:p>
    <w:p>
      <w:pPr>
        <w:jc w:val="center"/>
      </w:pPr>
      <w:r>
        <w:rPr>
          <w:b w:val="0"/>
          <w:i w:val="0"/>
        </w:rPr>
        <w:t>-------------------------------------</w:t>
      </w:r>
    </w:p>
    <w:p>
      <w:pPr>
        <w:jc w:val="both"/>
      </w:pPr>
      <w:r>
        <w:rPr>
          <w:b w:val="0"/>
          <w:i w:val="0"/>
        </w:rPr>
        <w:t xml:space="preserve">     Đế tiếp tục thực hiện Nghị quyết số 05/CP ngày 11 tháng 01 năm 1997 của Chính phủ; Chỉ thị số 406/TTg ngày 8 tháng 8 năm 1994 của Thủ tướng Chính phủ và các văn bản có liên quan khác của các Bộ, ngành ở Trung ương về việc cấm sản xuất, buôn bán, vận chuyển, đốt các loại pháo và sử dụng các loại đồ chơi nguy hiểm bị cấm nhằm góp phần giữ vững tình hình an ninh trật tự phục vụ cho nhân dân vui đón các lễ hội và đón xuân vui Tết Nhâm Ngọ 2002, Chủ tịch UBND thành phố yêu cầu Thủ trương các cơ quan chuyên môn thuộc UBND thành phố (gọi tắt là Sở, ban, ngành), Chủ tịch UBND các cấp và đề nghị lãnh đạo các tổ chức đoàn thể chỉ đạo, tổ chức phối hợp thực hiện một số nội dung công tác sau:</w:t>
      </w:r>
    </w:p>
    <w:p>
      <w:pPr>
        <w:jc w:val="both"/>
      </w:pPr>
      <w:r>
        <w:rPr>
          <w:b w:val="0"/>
          <w:i w:val="0"/>
        </w:rPr>
        <w:t xml:space="preserve">     1. Thủ trưởng các Sở, ban, ngành, Chủ tịch UBND các cấp tiếp tục chỉ đạo quán triệt và tổ chức thực hiện nghiêm túc, có hiệu quả các chủ trương của Chính phủ, Thủ tướng Chính phủ và các văn bản hướng dẫn có liên quan khác về cấm sản xuất, buôn bán, vận chuyển, đốt tất cả các loại pháo và đồ chơi nguy hiểm bị cấm. Theo chức năng, nhiệm vụ quản lý của minh, từng ngành, địa phương phải có kế hoạch chỉ đạo chặt chẽ, tập trung đẩy mạnh công tác tuyên truyền vận động quần chúng nhân dân chấp hành và thực hiện nghiêm túc các quy đinh của Nhà nước, đảm bảo không để xảy ra một vụ việc vi phạm nào có liên quan đến sản xuất, kinh doanh, đốt các loại pháo và sử dụng các loại đồ chơi nguy hiểm bị cấm trên lĩnh vực và địa bàn quản lý.</w:t>
      </w:r>
    </w:p>
    <w:p>
      <w:pPr>
        <w:jc w:val="both"/>
      </w:pPr>
      <w:r>
        <w:rPr>
          <w:b w:val="0"/>
          <w:i w:val="0"/>
        </w:rPr>
        <w:t xml:space="preserve">     2. Đề nghị Ủy ban Mặt trận Tổ quốc Việt Nam thành phố' có kế hoạch chỉ đạo các tổ chức thành viên thông qua việc vận động thực hiện phong trào toàn dân đoàn kết xây dựng cuộc sống mới, văn hóa mới ở khu dân cư để tuyên truyền, vận động các tầng lớp nhân dân thực hiện nghiêm túc chủ trương của Nhà nước về cấm sản xuất kinh doanh và đốt tất cả các loại pháo, sử dụng các loại đồ chơi nguy hiểm bị cấm.</w:t>
      </w:r>
    </w:p>
    <w:p>
      <w:pPr>
        <w:jc w:val="both"/>
      </w:pPr>
      <w:r>
        <w:rPr>
          <w:b w:val="0"/>
          <w:i w:val="0"/>
        </w:rPr>
        <w:t xml:space="preserve">     3. Các sở, ban, ngành theo chức năng, nhiệm vụ của mình có các biện pháp quản lý chặt chẽ việc kinh doanh sử dụng pháo và đồ chơi nguy hiểm bị cấm. Sở Thương mại có kế hoạch chỉ đạo Chi cục Quản lý thị trường, Công ty Quản lý các chợ đẩy mạnh các biện pháp kiểm tra, kiểm soát các quầy hàng, sạp hàng, đồng thời kiên quyết xử lý nghiêm và triệt để các hành vi vi phạm trong việc sản xuất kinh doanh pháo và các loại đồ chơi nguy hiểm bị cấm. Ngành Hải quan phối hợp với Bộ đội Biên phòng, Sở Khoa học - Công nghệ và Môi trường tăng cường kiểm tra, kiểm soát cảng, các cửa khẩu để kịp thời phát hiện ngăn chặn, xử lý các trường hợp nhập lậu vào thành phố các loại pháo và đồ chơi nguy hiểm bị cấm.</w:t>
      </w:r>
    </w:p>
    <w:p>
      <w:pPr>
        <w:jc w:val="both"/>
      </w:pPr>
      <w:r>
        <w:rPr>
          <w:b w:val="0"/>
          <w:i w:val="0"/>
        </w:rPr>
        <w:t xml:space="preserve">     4. Đại học Đà Nẵng, Sở Giáo dục - Đào tạo thành phố có kế hoạch tổ chức quán triệt chủ trương của Nhà nước đến tất cả các trường cho đối tượng sinh viên, học sinh để thực hiện nghiêm túc việc cấm đốt các loại pháo và sử dụng đồ chơi nguy hiểm bị cấm.</w:t>
      </w:r>
    </w:p>
    <w:p>
      <w:pPr>
        <w:jc w:val="both"/>
      </w:pPr>
      <w:r>
        <w:rPr>
          <w:b w:val="0"/>
          <w:i w:val="0"/>
        </w:rPr>
        <w:t xml:space="preserve">     5. Công an thành phố có kế hoạch chỉ đạo Công an các đơn vị, địa phương phối hợp với các ngành chức năng kiểm tra tại các địa bàn trọng điểm, nhất là những nơi trước đây có sản xuất, kinh doanh pháo và đồ chơi nguy hiểm bị cấm. Từ nay đến trước, trong và sau Tết Nhâm Ngọ 2002, các lực lượng Công an phải có biện pháp tích cực gắn kết chặt chẽ việc thực hiện Nghị quyết 05/CP, Chỉ thị 406/TTg với việc thực hiện tốt Nghị định 47/CP của Chính phủ để quản lý chặt chẽ vũ khí - vật liệu nổ, công cụ hỗ trợ và đồ chơi nguy hiểm bị câm, kịp thời phát hiện, xử lý các trường hợp vi phạm và phục vụ UBND thành phố chỉ đạo thực hiện có hiệu quả công tác này nhằm đảm bảo tình hình an ninh trật tự, an toàn cho nhân dân vui Tết, đón xuân.</w:t>
      </w:r>
    </w:p>
    <w:p>
      <w:pPr>
        <w:jc w:val="both"/>
      </w:pPr>
      <w:r>
        <w:rPr>
          <w:b w:val="0"/>
          <w:i w:val="0"/>
        </w:rPr>
        <w:t xml:space="preserve">     Nhận được Chỉ thị này, yêu cầu Thủ trưởng các Sở, ban, ngành, Chủ tịch UBND các cấp, lãnh đạo các đơn vị có liên quan triển khai tổ chức chỉ đạo thực hiện nghiêm túc và báo cáo kết quả cho Chủ tịch UBND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rPr>
                <w:b w:val="0"/>
                <w:i w:val="0"/>
              </w:rPr>
              <w:br/>
            </w:r>
            <w:r>
              <w:rPr>
                <w:b w:val="0"/>
                <w:i w:val="0"/>
              </w:rPr>
              <w:t>- TVTU, TT HĐND (để b/cáo)</w:t>
            </w:r>
            <w:r>
              <w:rPr>
                <w:b w:val="0"/>
                <w:i w:val="0"/>
              </w:rPr>
              <w:br/>
            </w:r>
            <w:r>
              <w:rPr>
                <w:b w:val="0"/>
                <w:i w:val="0"/>
              </w:rPr>
              <w:t>- CT, các PCT</w:t>
            </w:r>
            <w:r>
              <w:rPr>
                <w:b w:val="0"/>
                <w:i w:val="0"/>
              </w:rPr>
              <w:br/>
            </w:r>
            <w:r>
              <w:rPr>
                <w:b w:val="0"/>
                <w:i w:val="0"/>
              </w:rPr>
              <w:t>-Các sở, ban, ngành, đoàn thể</w:t>
            </w:r>
            <w:r>
              <w:rPr>
                <w:b w:val="0"/>
                <w:i w:val="0"/>
              </w:rPr>
              <w:br/>
            </w:r>
            <w:r>
              <w:rPr>
                <w:b w:val="0"/>
                <w:i w:val="0"/>
              </w:rPr>
              <w:t>-Các cơ quan thông tấn, báo chí (để đưa tin)</w:t>
            </w:r>
            <w:r>
              <w:rPr>
                <w:b w:val="0"/>
                <w:i w:val="0"/>
              </w:rPr>
              <w:br/>
            </w:r>
            <w:r>
              <w:rPr>
                <w:b w:val="0"/>
                <w:i w:val="0"/>
              </w:rPr>
              <w:t>-LưuVT, PC.</w:t>
            </w:r>
          </w:p>
        </w:tc>
        <w:tc>
          <w:tcPr>
            <w:tcW w:type="dxa" w:w="4320"/>
          </w:tcPr>
          <w:p>
            <w:r>
              <w:rPr>
                <w:b w:val="0"/>
                <w:i w:val="0"/>
              </w:rPr>
              <w:br/>
            </w:r>
            <w:r>
              <w:rPr>
                <w:b/>
                <w:i w:val="0"/>
              </w:rPr>
              <w:t>TM. UBND THÀNH PHỐ ĐÀ NẴNG</w:t>
            </w:r>
            <w:r>
              <w:rPr>
                <w:b w:val="0"/>
                <w:i w:val="0"/>
              </w:rPr>
              <w:br/>
            </w:r>
            <w:r>
              <w:rPr>
                <w:b/>
                <w:i w:val="0"/>
              </w:rPr>
              <w:t>CHỦ TỊCH</w:t>
            </w:r>
            <w:r>
              <w:rPr>
                <w:b w:val="0"/>
                <w:i w:val="0"/>
              </w:rPr>
              <w:br/>
            </w:r>
            <w:r>
              <w:rPr>
                <w:b/>
                <w:i/>
              </w:rPr>
              <w:t>(Đã ký)</w:t>
            </w:r>
            <w:r>
              <w:rPr>
                <w:b w:val="0"/>
                <w:i w:val="0"/>
              </w:rPr>
              <w:br/>
            </w:r>
            <w:r>
              <w:rPr>
                <w:b w:val="0"/>
                <w:i w:val="0"/>
              </w:rPr>
              <w:br/>
            </w:r>
            <w:r>
              <w:rPr>
                <w:b/>
                <w:i w:val="0"/>
              </w:rPr>
              <w:t>Nguyễn Bá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