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17/2000/QĐ-BCN Về việc chuyển giao Trung tâm y tế dự phòng than khu vực nội địa (bao gồm cả bệnh viện tại Đông Anh) đơn vị trực thuộc Trung tâm Y tế lao động ngành Than của Tổng Công ty Than Việt Nam về Uỷ ban nhân dân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pPr>
        <w:jc w:val="center"/>
      </w:pPr>
      <w:r>
        <w:rPr>
          <w:b/>
          <w:i w:val="0"/>
        </w:rPr>
        <w:t>QUYẾT ĐỊNH</w:t>
      </w:r>
    </w:p>
    <w:p>
      <w:pPr>
        <w:jc w:val="center"/>
      </w:pPr>
      <w:r>
        <w:rPr>
          <w:b/>
          <w:i w:val="0"/>
        </w:rPr>
        <w:t>Về việc chuyển giao Trung tâm y tế dự phòng than khu vực nội địa</w:t>
      </w:r>
    </w:p>
    <w:p>
      <w:pPr>
        <w:jc w:val="center"/>
      </w:pPr>
      <w:r>
        <w:rPr>
          <w:b/>
          <w:i w:val="0"/>
        </w:rPr>
        <w:t xml:space="preserve"> </w:t>
      </w:r>
      <w:r>
        <w:rPr>
          <w:b/>
          <w:i w:val="0"/>
        </w:rPr>
        <w:t xml:space="preserve">(bao gồm cả bệnh viện tại Đông Anh) </w:t>
      </w:r>
    </w:p>
    <w:p>
      <w:pPr>
        <w:jc w:val="center"/>
      </w:pPr>
      <w:r>
        <w:rPr>
          <w:b/>
          <w:i w:val="0"/>
        </w:rPr>
        <w:t xml:space="preserve">đơn vị trực thuộc Trung tâm Y tế lao động ngành Than </w:t>
      </w:r>
    </w:p>
    <w:p>
      <w:pPr>
        <w:jc w:val="center"/>
      </w:pPr>
      <w:r>
        <w:rPr>
          <w:b/>
          <w:i w:val="0"/>
        </w:rPr>
        <w:t>của Tổng Công ty Than Việt Nam về Uỷ ban nhân dân thành phố Hà Nội</w:t>
      </w:r>
    </w:p>
    <w:p>
      <w:r>
        <w:rPr>
          <w:b/>
          <w:i w:val="0"/>
        </w:rPr>
        <w:t xml:space="preserve">BỘ TRƯỞNG BỘ CÔNG NGHIỆP </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việc thành lập, tổ chức lại, giải thể và phá sản doanh nghiệp nhà nước;</w:t>
      </w:r>
    </w:p>
    <w:p>
      <w:r>
        <w:rPr>
          <w:b w:val="0"/>
          <w:i/>
        </w:rPr>
        <w:t xml:space="preserve"> Căn cứ ý kiến của Thủ tướng Chính phủ tại Công văn số 14/CP-ĐMDN ngày 02 tháng 02 năm 2000 và kết luận tại Hội nghị triển khai giữa các Bộ, ngành và địa phương liên quan (Thông báo số 04/TB-VP, ngày 29 tháng 3 năm 2000 của Bộ Công nghiệp);</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 xml:space="preserve">Điều 1. </w:t>
      </w:r>
      <w:r>
        <w:rPr>
          <w:b w:val="0"/>
          <w:i w:val="0"/>
        </w:rPr>
        <w:t>Chuyển giao nguyên trạng Trung tâm Y tế dự phòng than khu vực Nội Địa bao gồm cả bệnh viện tại Đông Anh-Hà Nội, đơn vị trực thuộc Trung tâm Y tế lao động ngành Than của Tổng Công ty Than Việt Nam về Uỷ ban nhân dân thành phố Hà Nội quản lý.</w:t>
      </w:r>
    </w:p>
    <w:p>
      <w:r>
        <w:rPr>
          <w:b/>
          <w:i w:val="0"/>
        </w:rPr>
        <w:t xml:space="preserve">Điều 2. </w:t>
      </w:r>
      <w:r>
        <w:rPr>
          <w:b w:val="0"/>
          <w:i w:val="0"/>
        </w:rPr>
        <w:t>Tổng giám đốc Tổng Công ty Than Việt Nam có trách nhiệm làm việc với Uỷ ban nhân dân thành phố Hà Nội để chỉ đạo việc chuyển giao trên theo đúng quy định hiện hành của Nhà nước.</w:t>
      </w:r>
    </w:p>
    <w:p>
      <w:r>
        <w:rPr>
          <w:b/>
          <w:i w:val="0"/>
        </w:rPr>
        <w:t>Điều 3.</w:t>
      </w:r>
      <w:r>
        <w:rPr>
          <w:b w:val="0"/>
          <w:i w:val="0"/>
        </w:rPr>
        <w:t xml:space="preserve"> Quyết định này có hiệu lực thi hành kể từ ngày 01 tháng 5 năm 2000.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Giám đốc Trung tâm Y tế lao động ngành Than, Giám đốc Trung tâm Y tế dự phòng than khu vực Nội Địa, Giám đốc Bệnh viện Đông Anh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