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17/2016/QĐ-UBND Duyệt giá bán nước sạch của Công ty cổ phần Cấp nước Phú Thọ trên địa bàn tỉnh Phú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PHÚ THỌ</w:t>
            </w:r>
            <w:r>
              <w:rPr>
                <w:b w:val="0"/>
                <w:i w:val="0"/>
              </w:rPr>
              <w:br/>
            </w:r>
            <w:r>
              <w:rPr>
                <w:b w:val="0"/>
                <w:i w:val="0"/>
              </w:rPr>
              <w:br/>
            </w:r>
            <w:r>
              <w:rPr>
                <w:b/>
                <w:i w:val="0"/>
              </w:rPr>
              <w:t xml:space="preserve"> </w:t>
            </w:r>
            <w:r>
              <w:rPr>
                <w:b w:val="0"/>
                <w:i w:val="0"/>
              </w:rPr>
              <w:t>Số:</w:t>
            </w:r>
            <w:r>
              <w:rPr>
                <w:b w:val="0"/>
                <w:i w:val="0"/>
              </w:rPr>
              <w:t xml:space="preserve">  </w:t>
            </w:r>
            <w:r>
              <w:rPr>
                <w:b w:val="0"/>
                <w:i w:val="0"/>
              </w:rPr>
              <w:t>17/2016/QĐ-UBND</w:t>
            </w:r>
          </w:p>
        </w:tc>
        <w:tc>
          <w:tcPr>
            <w:tcW w:type="dxa" w:w="4320"/>
          </w:tcPr>
          <w:p>
            <w:r>
              <w:rPr>
                <w:b w:val="0"/>
                <w:i w:val="0"/>
              </w:rPr>
              <w:br/>
            </w:r>
            <w:r>
              <w:rPr>
                <w:b/>
                <w:i w:val="0"/>
              </w:rPr>
              <w:t xml:space="preserve">CỘNG </w:t>
            </w:r>
            <w:r>
              <w:rPr>
                <w:b/>
                <w:i w:val="0"/>
              </w:rPr>
              <w:t>HOÀ XÃ HỘI CHỦ NGHĨA VIỆT NAM</w:t>
            </w:r>
            <w:r>
              <w:rPr>
                <w:b w:val="0"/>
                <w:i w:val="0"/>
              </w:rPr>
              <w:br/>
            </w:r>
            <w:r>
              <w:rPr>
                <w:b/>
                <w:i w:val="0"/>
              </w:rPr>
              <w:t>Độc lập - Tự do - Hạnh phúc</w:t>
            </w:r>
            <w:r>
              <w:rPr>
                <w:b w:val="0"/>
                <w:i w:val="0"/>
              </w:rPr>
              <w:br/>
            </w:r>
            <w:r>
              <w:rPr>
                <w:b w:val="0"/>
                <w:i/>
              </w:rPr>
              <w:t>Phú Thọ, ngày 13 tháng  6  năm 2016</w:t>
            </w:r>
          </w:p>
        </w:tc>
      </w:tr>
    </w:tbl>
    <w:p>
      <w:pPr>
        <w:jc w:val="center"/>
      </w:pPr>
      <w:r>
        <w:rPr>
          <w:b/>
          <w:i w:val="0"/>
        </w:rPr>
        <w:t>QUYẾT ĐỊNH</w:t>
      </w:r>
    </w:p>
    <w:p>
      <w:pPr>
        <w:jc w:val="center"/>
      </w:pPr>
      <w:r>
        <w:rPr>
          <w:b w:val="0"/>
          <w:i w:val="0"/>
        </w:rPr>
        <w:t>V/v duyệt giá bán nước sạch của Công ty cổ phần Cấp nước Phú Thọ trên địa bàn tỉnh Phú Thọ</w:t>
      </w:r>
    </w:p>
    <w:p>
      <w:pPr>
        <w:jc w:val="center"/>
      </w:pPr>
      <w:r>
        <w:rPr>
          <w:b/>
          <w:i w:val="0"/>
        </w:rPr>
        <w:t>UỶ BAN NHÂN DÂN TỈNH PHÚ THỌ</w:t>
      </w:r>
    </w:p>
    <w:p>
      <w:pPr>
        <w:jc w:val="both"/>
      </w:pPr>
      <w:r>
        <w:rPr>
          <w:b w:val="0"/>
          <w:i w:val="0"/>
        </w:rPr>
        <w:t>Căn cứ Luật Tổ chức Chính quyền địa phương ngày 9/6/2015;</w:t>
      </w:r>
    </w:p>
    <w:p>
      <w:pPr>
        <w:jc w:val="both"/>
      </w:pPr>
      <w:r>
        <w:rPr>
          <w:b w:val="0"/>
          <w:i w:val="0"/>
        </w:rPr>
        <w:t xml:space="preserve"> </w:t>
      </w:r>
      <w:r>
        <w:rPr>
          <w:b w:val="0"/>
          <w:i w:val="0"/>
        </w:rPr>
        <w:t>Căn cứ Luật Giá số 11/2012/QH13 ngày 20 tháng 6 năm 2012;</w:t>
      </w:r>
    </w:p>
    <w:p>
      <w:pPr>
        <w:jc w:val="both"/>
      </w:pPr>
      <w:r>
        <w:rPr>
          <w:b w:val="0"/>
          <w:i w:val="0"/>
        </w:rPr>
        <w:t>Căn cứ Nghị định số 177/2013/ND-CP ngày 14/11/2013 của Chính phủ quy định chi tiết và hướng dẫn thi hành một số điều của Luật giá;</w:t>
      </w:r>
    </w:p>
    <w:p>
      <w:pPr>
        <w:jc w:val="both"/>
      </w:pPr>
      <w:r>
        <w:rPr>
          <w:b w:val="0"/>
          <w:i w:val="0"/>
        </w:rPr>
        <w:t>Căn cứ Nghị định số 99/2010/NĐ-CP ngày 24/9/2010 của Chính phủ về chính sách chi trả dịch vụ môi trường rừng;</w:t>
      </w:r>
    </w:p>
    <w:p>
      <w:pPr>
        <w:jc w:val="both"/>
      </w:pPr>
      <w:r>
        <w:rPr>
          <w:b w:val="0"/>
          <w:i w:val="0"/>
        </w:rPr>
        <w:t xml:space="preserve">Căn </w:t>
      </w:r>
      <w:r>
        <w:rPr>
          <w:b w:val="0"/>
          <w:i w:val="0"/>
        </w:rPr>
        <w:t xml:space="preserve">cứ </w:t>
      </w:r>
      <w:r>
        <w:rPr>
          <w:b w:val="0"/>
          <w:i w:val="0"/>
        </w:rPr>
        <w:t xml:space="preserve">Nghị </w:t>
      </w:r>
      <w:r>
        <w:rPr>
          <w:b w:val="0"/>
          <w:i w:val="0"/>
        </w:rPr>
        <w:t xml:space="preserve">định </w:t>
      </w:r>
      <w:r>
        <w:rPr>
          <w:b w:val="0"/>
          <w:i w:val="0"/>
        </w:rPr>
        <w:t xml:space="preserve">số </w:t>
      </w:r>
      <w:r>
        <w:rPr>
          <w:b w:val="0"/>
          <w:i w:val="0"/>
        </w:rPr>
        <w:t xml:space="preserve">117/2007/NĐ-CP </w:t>
      </w:r>
      <w:r>
        <w:rPr>
          <w:b w:val="0"/>
          <w:i w:val="0"/>
        </w:rPr>
        <w:t xml:space="preserve">11/7/2007 </w:t>
      </w:r>
      <w:r>
        <w:rPr>
          <w:b w:val="0"/>
          <w:i w:val="0"/>
        </w:rPr>
        <w:t xml:space="preserve">của </w:t>
      </w:r>
      <w:r>
        <w:rPr>
          <w:b w:val="0"/>
          <w:i w:val="0"/>
        </w:rPr>
        <w:t xml:space="preserve">Chính </w:t>
      </w:r>
      <w:r>
        <w:rPr>
          <w:b w:val="0"/>
          <w:i w:val="0"/>
        </w:rPr>
        <w:t xml:space="preserve">phủ </w:t>
      </w:r>
      <w:r>
        <w:rPr>
          <w:b w:val="0"/>
          <w:i w:val="0"/>
        </w:rPr>
        <w:t xml:space="preserve">về </w:t>
      </w:r>
      <w:r>
        <w:rPr>
          <w:b w:val="0"/>
          <w:i w:val="0"/>
        </w:rPr>
        <w:t xml:space="preserve">sản </w:t>
      </w:r>
      <w:r>
        <w:rPr>
          <w:b w:val="0"/>
          <w:i w:val="0"/>
        </w:rPr>
        <w:t xml:space="preserve">xuất </w:t>
      </w:r>
      <w:r>
        <w:rPr>
          <w:b w:val="0"/>
          <w:i w:val="0"/>
        </w:rPr>
        <w:t xml:space="preserve"> </w:t>
      </w:r>
      <w:r>
        <w:rPr>
          <w:b w:val="0"/>
          <w:i w:val="0"/>
        </w:rPr>
        <w:t xml:space="preserve">cung cấp </w:t>
      </w:r>
      <w:r>
        <w:rPr>
          <w:b w:val="0"/>
          <w:i w:val="0"/>
        </w:rPr>
        <w:t xml:space="preserve">và </w:t>
      </w:r>
      <w:r>
        <w:rPr>
          <w:b w:val="0"/>
          <w:i w:val="0"/>
        </w:rPr>
        <w:t xml:space="preserve">tiêu </w:t>
      </w:r>
      <w:r>
        <w:rPr>
          <w:b w:val="0"/>
          <w:i w:val="0"/>
        </w:rPr>
        <w:t xml:space="preserve">thụ </w:t>
      </w:r>
      <w:r>
        <w:rPr>
          <w:b w:val="0"/>
          <w:i w:val="0"/>
        </w:rPr>
        <w:t>nước</w:t>
      </w:r>
      <w:r>
        <w:rPr>
          <w:b w:val="0"/>
          <w:i w:val="0"/>
        </w:rPr>
        <w:t xml:space="preserve"> </w:t>
      </w:r>
      <w:r>
        <w:rPr>
          <w:b w:val="0"/>
          <w:i w:val="0"/>
        </w:rPr>
        <w:t>sạch;</w:t>
      </w:r>
    </w:p>
    <w:p>
      <w:pPr>
        <w:jc w:val="both"/>
      </w:pPr>
      <w:r>
        <w:rPr>
          <w:b w:val="0"/>
          <w:i w:val="0"/>
        </w:rPr>
        <w:t xml:space="preserve">Căn </w:t>
      </w:r>
      <w:r>
        <w:rPr>
          <w:b w:val="0"/>
          <w:i w:val="0"/>
        </w:rPr>
        <w:t xml:space="preserve">cứ </w:t>
      </w:r>
      <w:r>
        <w:rPr>
          <w:b w:val="0"/>
          <w:i w:val="0"/>
        </w:rPr>
        <w:t xml:space="preserve">Nghị </w:t>
      </w:r>
      <w:r>
        <w:rPr>
          <w:b w:val="0"/>
          <w:i w:val="0"/>
        </w:rPr>
        <w:t xml:space="preserve">định </w:t>
      </w:r>
      <w:r>
        <w:rPr>
          <w:b w:val="0"/>
          <w:i w:val="0"/>
        </w:rPr>
        <w:t xml:space="preserve">số </w:t>
      </w:r>
      <w:r>
        <w:rPr>
          <w:b w:val="0"/>
          <w:i w:val="0"/>
        </w:rPr>
        <w:t xml:space="preserve">124/2011/NĐ-CP </w:t>
      </w:r>
      <w:r>
        <w:rPr>
          <w:b w:val="0"/>
          <w:i w:val="0"/>
        </w:rPr>
        <w:t xml:space="preserve">ngày 28/12/2011 </w:t>
      </w:r>
      <w:r>
        <w:rPr>
          <w:b w:val="0"/>
          <w:i w:val="0"/>
        </w:rPr>
        <w:t xml:space="preserve">của </w:t>
      </w:r>
      <w:r>
        <w:rPr>
          <w:b w:val="0"/>
          <w:i w:val="0"/>
        </w:rPr>
        <w:t xml:space="preserve">Chính </w:t>
      </w:r>
      <w:r>
        <w:rPr>
          <w:b w:val="0"/>
          <w:i w:val="0"/>
        </w:rPr>
        <w:t xml:space="preserve">phủ </w:t>
      </w:r>
      <w:r>
        <w:rPr>
          <w:b w:val="0"/>
          <w:i w:val="0"/>
        </w:rPr>
        <w:t xml:space="preserve">về </w:t>
      </w:r>
      <w:r>
        <w:rPr>
          <w:b w:val="0"/>
          <w:i w:val="0"/>
        </w:rPr>
        <w:t>sửa</w:t>
      </w:r>
      <w:r>
        <w:rPr>
          <w:b w:val="0"/>
          <w:i w:val="0"/>
        </w:rPr>
        <w:t xml:space="preserve"> </w:t>
      </w:r>
      <w:r>
        <w:rPr>
          <w:b w:val="0"/>
          <w:i w:val="0"/>
        </w:rPr>
        <w:t xml:space="preserve">đổi, </w:t>
      </w:r>
      <w:r>
        <w:rPr>
          <w:b w:val="0"/>
          <w:i w:val="0"/>
        </w:rPr>
        <w:t xml:space="preserve">bổ </w:t>
      </w:r>
      <w:r>
        <w:rPr>
          <w:b w:val="0"/>
          <w:i w:val="0"/>
        </w:rPr>
        <w:t xml:space="preserve">sung </w:t>
      </w:r>
      <w:r>
        <w:rPr>
          <w:b w:val="0"/>
          <w:i w:val="0"/>
        </w:rPr>
        <w:t xml:space="preserve">một </w:t>
      </w:r>
      <w:r>
        <w:rPr>
          <w:b w:val="0"/>
          <w:i w:val="0"/>
        </w:rPr>
        <w:t xml:space="preserve">số </w:t>
      </w:r>
      <w:r>
        <w:rPr>
          <w:b w:val="0"/>
          <w:i w:val="0"/>
        </w:rPr>
        <w:t xml:space="preserve">điều Nghị </w:t>
      </w:r>
      <w:r>
        <w:rPr>
          <w:b w:val="0"/>
          <w:i w:val="0"/>
        </w:rPr>
        <w:t xml:space="preserve">định </w:t>
      </w:r>
      <w:r>
        <w:rPr>
          <w:b w:val="0"/>
          <w:i w:val="0"/>
        </w:rPr>
        <w:t xml:space="preserve">số </w:t>
      </w:r>
      <w:r>
        <w:rPr>
          <w:b w:val="0"/>
          <w:i w:val="0"/>
        </w:rPr>
        <w:t xml:space="preserve">117/2007/NĐ-CP </w:t>
      </w:r>
      <w:r>
        <w:rPr>
          <w:b w:val="0"/>
          <w:i w:val="0"/>
        </w:rPr>
        <w:t xml:space="preserve">11/7/2007 </w:t>
      </w:r>
      <w:r>
        <w:rPr>
          <w:b w:val="0"/>
          <w:i w:val="0"/>
        </w:rPr>
        <w:t xml:space="preserve">của </w:t>
      </w:r>
      <w:r>
        <w:rPr>
          <w:b w:val="0"/>
          <w:i w:val="0"/>
        </w:rPr>
        <w:t>Chính</w:t>
      </w:r>
      <w:r>
        <w:rPr>
          <w:b w:val="0"/>
          <w:i w:val="0"/>
        </w:rPr>
        <w:t xml:space="preserve"> </w:t>
      </w:r>
      <w:r>
        <w:rPr>
          <w:b w:val="0"/>
          <w:i w:val="0"/>
        </w:rPr>
        <w:t>phủ;</w:t>
      </w:r>
    </w:p>
    <w:p>
      <w:pPr>
        <w:jc w:val="both"/>
      </w:pPr>
      <w:r>
        <w:rPr>
          <w:b w:val="0"/>
          <w:i w:val="0"/>
        </w:rPr>
        <w:t>Căn cứ Thông tư số 56/2014/TT-BTC ngày 28/4/2014 của Bộ Tài</w:t>
      </w:r>
      <w:r>
        <w:rPr>
          <w:b w:val="0"/>
          <w:i w:val="0"/>
        </w:rPr>
        <w:t xml:space="preserve">  </w:t>
      </w:r>
      <w:r>
        <w:rPr>
          <w:b w:val="0"/>
          <w:i w:val="0"/>
        </w:rPr>
        <w:t>chính Hướng dẫn Nghị định số 177/2013/ND-CP ngày 14/11/2013 của Chính</w:t>
      </w:r>
      <w:r>
        <w:rPr>
          <w:b w:val="0"/>
          <w:i w:val="0"/>
        </w:rPr>
        <w:t xml:space="preserve"> </w:t>
      </w:r>
      <w:r>
        <w:rPr>
          <w:b w:val="0"/>
          <w:i w:val="0"/>
        </w:rPr>
        <w:t>phủ;</w:t>
      </w:r>
    </w:p>
    <w:p>
      <w:pPr>
        <w:jc w:val="both"/>
      </w:pPr>
      <w:r>
        <w:rPr>
          <w:b w:val="0"/>
          <w:i w:val="0"/>
        </w:rPr>
        <w:t xml:space="preserve">Căn </w:t>
      </w:r>
      <w:r>
        <w:rPr>
          <w:b w:val="0"/>
          <w:i w:val="0"/>
        </w:rPr>
        <w:t xml:space="preserve">cứ </w:t>
      </w:r>
      <w:r>
        <w:rPr>
          <w:b w:val="0"/>
          <w:i w:val="0"/>
        </w:rPr>
        <w:t xml:space="preserve">Thông </w:t>
      </w:r>
      <w:r>
        <w:rPr>
          <w:b w:val="0"/>
          <w:i w:val="0"/>
        </w:rPr>
        <w:t xml:space="preserve">tư </w:t>
      </w:r>
      <w:r>
        <w:rPr>
          <w:b w:val="0"/>
          <w:i w:val="0"/>
        </w:rPr>
        <w:t xml:space="preserve">Liên tịch </w:t>
      </w:r>
      <w:r>
        <w:rPr>
          <w:b w:val="0"/>
          <w:i w:val="0"/>
        </w:rPr>
        <w:t xml:space="preserve">số </w:t>
      </w:r>
      <w:r>
        <w:rPr>
          <w:b w:val="0"/>
          <w:i w:val="0"/>
        </w:rPr>
        <w:t xml:space="preserve">75/2012/TTLT-BTC-BXD-BNN </w:t>
      </w:r>
      <w:r>
        <w:rPr>
          <w:b w:val="0"/>
          <w:i w:val="0"/>
        </w:rPr>
        <w:t xml:space="preserve">ngày 15/5/2012 </w:t>
      </w:r>
      <w:r>
        <w:rPr>
          <w:b w:val="0"/>
          <w:i w:val="0"/>
        </w:rPr>
        <w:t xml:space="preserve">của </w:t>
      </w:r>
      <w:r>
        <w:rPr>
          <w:b w:val="0"/>
          <w:i w:val="0"/>
        </w:rPr>
        <w:t xml:space="preserve">liên </w:t>
      </w:r>
      <w:r>
        <w:rPr>
          <w:b w:val="0"/>
          <w:i w:val="0"/>
        </w:rPr>
        <w:t xml:space="preserve">Bộ </w:t>
      </w:r>
      <w:r>
        <w:rPr>
          <w:b w:val="0"/>
          <w:i w:val="0"/>
        </w:rPr>
        <w:t xml:space="preserve">Tài chính </w:t>
      </w:r>
      <w:r>
        <w:rPr>
          <w:b w:val="0"/>
          <w:i w:val="0"/>
        </w:rPr>
        <w:t xml:space="preserve">– </w:t>
      </w:r>
      <w:r>
        <w:rPr>
          <w:b w:val="0"/>
          <w:i w:val="0"/>
        </w:rPr>
        <w:t xml:space="preserve">Xây dựng </w:t>
      </w:r>
      <w:r>
        <w:rPr>
          <w:b w:val="0"/>
          <w:i w:val="0"/>
        </w:rPr>
        <w:t xml:space="preserve">– </w:t>
      </w:r>
      <w:r>
        <w:rPr>
          <w:b w:val="0"/>
          <w:i w:val="0"/>
        </w:rPr>
        <w:t xml:space="preserve">Nông nghiệp </w:t>
      </w:r>
      <w:r>
        <w:rPr>
          <w:b w:val="0"/>
          <w:i w:val="0"/>
        </w:rPr>
        <w:t xml:space="preserve">và </w:t>
      </w:r>
      <w:r>
        <w:rPr>
          <w:b w:val="0"/>
          <w:i w:val="0"/>
        </w:rPr>
        <w:t xml:space="preserve">Phát triển </w:t>
      </w:r>
      <w:r>
        <w:rPr>
          <w:b w:val="0"/>
          <w:i w:val="0"/>
        </w:rPr>
        <w:t xml:space="preserve">nông thôn </w:t>
      </w:r>
      <w:r>
        <w:rPr>
          <w:b w:val="0"/>
          <w:i w:val="0"/>
        </w:rPr>
        <w:t xml:space="preserve">hướng </w:t>
      </w:r>
      <w:r>
        <w:rPr>
          <w:b w:val="0"/>
          <w:i w:val="0"/>
        </w:rPr>
        <w:t xml:space="preserve">dẫn </w:t>
      </w:r>
      <w:r>
        <w:rPr>
          <w:b w:val="0"/>
          <w:i w:val="0"/>
        </w:rPr>
        <w:t xml:space="preserve">nguyên </w:t>
      </w:r>
      <w:r>
        <w:rPr>
          <w:b w:val="0"/>
          <w:i w:val="0"/>
        </w:rPr>
        <w:t xml:space="preserve">tắc, phương pháp </w:t>
      </w:r>
      <w:r>
        <w:rPr>
          <w:b w:val="0"/>
          <w:i w:val="0"/>
        </w:rPr>
        <w:t xml:space="preserve">xác định </w:t>
      </w:r>
      <w:r>
        <w:rPr>
          <w:b w:val="0"/>
          <w:i w:val="0"/>
        </w:rPr>
        <w:t xml:space="preserve">và </w:t>
      </w:r>
      <w:r>
        <w:rPr>
          <w:b w:val="0"/>
          <w:i w:val="0"/>
        </w:rPr>
        <w:t xml:space="preserve">thẩm </w:t>
      </w:r>
      <w:r>
        <w:rPr>
          <w:b w:val="0"/>
          <w:i w:val="0"/>
        </w:rPr>
        <w:t xml:space="preserve">quyền quyết </w:t>
      </w:r>
      <w:r>
        <w:rPr>
          <w:b w:val="0"/>
          <w:i w:val="0"/>
        </w:rPr>
        <w:t xml:space="preserve">định giá </w:t>
      </w:r>
      <w:r>
        <w:rPr>
          <w:b w:val="0"/>
          <w:i w:val="0"/>
        </w:rPr>
        <w:t xml:space="preserve">tiêu </w:t>
      </w:r>
      <w:r>
        <w:rPr>
          <w:b w:val="0"/>
          <w:i w:val="0"/>
        </w:rPr>
        <w:t xml:space="preserve">thụ </w:t>
      </w:r>
      <w:r>
        <w:rPr>
          <w:b w:val="0"/>
          <w:i w:val="0"/>
        </w:rPr>
        <w:t xml:space="preserve">nước sạch </w:t>
      </w:r>
      <w:r>
        <w:rPr>
          <w:b w:val="0"/>
          <w:i w:val="0"/>
        </w:rPr>
        <w:t xml:space="preserve">tại </w:t>
      </w:r>
      <w:r>
        <w:rPr>
          <w:b w:val="0"/>
          <w:i w:val="0"/>
        </w:rPr>
        <w:t xml:space="preserve">các </w:t>
      </w:r>
      <w:r>
        <w:rPr>
          <w:b w:val="0"/>
          <w:i w:val="0"/>
        </w:rPr>
        <w:t xml:space="preserve">đô </w:t>
      </w:r>
      <w:r>
        <w:rPr>
          <w:b w:val="0"/>
          <w:i w:val="0"/>
        </w:rPr>
        <w:t xml:space="preserve">thị, khu </w:t>
      </w:r>
      <w:r>
        <w:rPr>
          <w:b w:val="0"/>
          <w:i w:val="0"/>
        </w:rPr>
        <w:t xml:space="preserve">công nghiệp </w:t>
      </w:r>
      <w:r>
        <w:rPr>
          <w:b w:val="0"/>
          <w:i w:val="0"/>
        </w:rPr>
        <w:t xml:space="preserve">và </w:t>
      </w:r>
      <w:r>
        <w:rPr>
          <w:b w:val="0"/>
          <w:i w:val="0"/>
        </w:rPr>
        <w:t xml:space="preserve">khu </w:t>
      </w:r>
      <w:r>
        <w:rPr>
          <w:b w:val="0"/>
          <w:i w:val="0"/>
        </w:rPr>
        <w:t xml:space="preserve">vực </w:t>
      </w:r>
      <w:r>
        <w:rPr>
          <w:b w:val="0"/>
          <w:i w:val="0"/>
        </w:rPr>
        <w:t xml:space="preserve">nông </w:t>
      </w:r>
      <w:r>
        <w:rPr>
          <w:b w:val="0"/>
          <w:i w:val="0"/>
        </w:rPr>
        <w:t>thôn;</w:t>
      </w:r>
    </w:p>
    <w:p>
      <w:pPr>
        <w:jc w:val="both"/>
      </w:pPr>
      <w:r>
        <w:rPr>
          <w:b w:val="0"/>
          <w:i w:val="0"/>
        </w:rPr>
        <w:t>Căn cứ Thông tư số 01/2008/TT-BXD ngày 02/01/2008 của Bộ Xây dựng về việc hướng dẫn thực hiện một số nội dung của Nghị định số 117/2007/NĐ-CP ngày 11/7/2007 của Chính phủ;</w:t>
      </w:r>
    </w:p>
    <w:p>
      <w:pPr>
        <w:jc w:val="both"/>
      </w:pPr>
      <w:r>
        <w:rPr>
          <w:b w:val="0"/>
          <w:i w:val="0"/>
        </w:rPr>
        <w:t>Căn cứ Thông tư số 88/2012/TT-BTC ngày 28/5/2012 của Bộ Tài chính về</w:t>
      </w:r>
      <w:r>
        <w:rPr>
          <w:b w:val="0"/>
          <w:i w:val="0"/>
        </w:rPr>
        <w:t xml:space="preserve">  </w:t>
      </w:r>
      <w:r>
        <w:rPr>
          <w:b w:val="0"/>
          <w:i w:val="0"/>
        </w:rPr>
        <w:t>việc ban hành khung giá tiêu thụ nước sạch sinh</w:t>
      </w:r>
      <w:r>
        <w:rPr>
          <w:b w:val="0"/>
          <w:i w:val="0"/>
        </w:rPr>
        <w:t xml:space="preserve"> </w:t>
      </w:r>
      <w:r>
        <w:rPr>
          <w:b w:val="0"/>
          <w:i w:val="0"/>
        </w:rPr>
        <w:t>hoạt;</w:t>
      </w:r>
    </w:p>
    <w:p>
      <w:pPr>
        <w:jc w:val="both"/>
      </w:pPr>
      <w:r>
        <w:rPr>
          <w:b w:val="0"/>
          <w:i w:val="0"/>
        </w:rPr>
        <w:t>Xét đề nghị của Sở Tài chính tại Tờ trình số 53/TTr-STC ngày 04 tháng 3 năm</w:t>
      </w:r>
      <w:r>
        <w:rPr>
          <w:b w:val="0"/>
          <w:i w:val="0"/>
        </w:rPr>
        <w:t xml:space="preserve">  </w:t>
      </w:r>
      <w:r>
        <w:rPr>
          <w:b w:val="0"/>
          <w:i w:val="0"/>
        </w:rPr>
        <w:t>2016,</w:t>
      </w:r>
    </w:p>
    <w:p>
      <w:pPr>
        <w:jc w:val="center"/>
      </w:pPr>
      <w:r>
        <w:rPr>
          <w:b/>
          <w:i w:val="0"/>
        </w:rPr>
        <w:t>QUYẾT ĐỊNH:</w:t>
      </w:r>
    </w:p>
    <w:p>
      <w:r>
        <w:rPr>
          <w:b w:val="0"/>
          <w:i w:val="0"/>
        </w:rPr>
        <w:t>Điều 1. Duyệt giá bán nước sạch của Công ty cổ phần Cấp nước Phú Thọ trên địa bàn tỉnh Phú Thọ,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STT</w:t>
            </w:r>
          </w:p>
        </w:tc>
        <w:tc>
          <w:tcPr>
            <w:tcW w:type="dxa" w:w="2880"/>
          </w:tcPr>
          <w:p>
            <w:r>
              <w:rPr>
                <w:b w:val="0"/>
                <w:i w:val="0"/>
              </w:rPr>
              <w:br/>
            </w:r>
            <w:r>
              <w:rPr>
                <w:b w:val="0"/>
                <w:i w:val="0"/>
              </w:rPr>
              <w:t xml:space="preserve"> </w:t>
            </w:r>
            <w:r>
              <w:rPr>
                <w:b w:val="0"/>
                <w:i w:val="0"/>
              </w:rPr>
              <w:br/>
            </w:r>
            <w:r>
              <w:rPr>
                <w:b/>
                <w:i w:val="0"/>
              </w:rPr>
              <w:t>Đối tượng sử dụng</w:t>
            </w:r>
          </w:p>
        </w:tc>
        <w:tc>
          <w:tcPr>
            <w:tcW w:type="dxa" w:w="2880"/>
          </w:tcPr>
          <w:p>
            <w:r>
              <w:rPr>
                <w:b w:val="0"/>
                <w:i w:val="0"/>
              </w:rPr>
              <w:br/>
            </w:r>
            <w:r>
              <w:rPr>
                <w:b/>
                <w:i w:val="0"/>
              </w:rPr>
              <w:t>Giá bán nước sạch</w:t>
            </w:r>
            <w:r>
              <w:rPr>
                <w:b w:val="0"/>
                <w:i w:val="0"/>
              </w:rPr>
              <w:br/>
            </w:r>
            <w:r>
              <w:rPr>
                <w:b w:val="0"/>
                <w:i/>
              </w:rPr>
              <w:t>(đồng/m</w:t>
            </w:r>
            <w:r>
              <w:rPr>
                <w:b w:val="0"/>
                <w:i/>
              </w:rPr>
              <w:t>3</w:t>
            </w:r>
            <w:r>
              <w:rPr>
                <w:b w:val="0"/>
                <w:i/>
              </w:rPr>
              <w:t>)</w:t>
            </w:r>
          </w:p>
        </w:tc>
      </w:tr>
    </w:tbl>
    <w:p>
      <w:pPr>
        <w:jc w:val="both"/>
      </w:pPr>
      <w:r>
        <w:rPr>
          <w:b w:val="0"/>
          <w:i w:val="0"/>
        </w:rPr>
        <w:t>Giá bán quy định tại Quyết định này là giá đã bao gồm thuế Giá trị gia tăng, thuế tài nguyên, chi phí duy trì đấu  nối và tiền dịch vụ môi trường rừng theo quy  định hiện hành.</w:t>
      </w:r>
    </w:p>
    <w:p>
      <w:pPr>
        <w:jc w:val="both"/>
      </w:pPr>
      <w:r>
        <w:rPr>
          <w:b w:val="0"/>
          <w:i w:val="0"/>
        </w:rPr>
        <w:t>Điều 2. Quyết định này có hiệu lực áp dụng kể từ ngày 01/7/2016; Những quy định trái với Quyết định này đều bị bãi bỏ kể từ ngày Quyết định này có hiệu lực áp dụng.</w:t>
      </w:r>
    </w:p>
    <w:p>
      <w:pPr>
        <w:jc w:val="both"/>
      </w:pPr>
      <w:r>
        <w:rPr>
          <w:b w:val="0"/>
          <w:i w:val="0"/>
        </w:rPr>
        <w:t>Công ty cổ phần Cấp nước Phú Thọ thực hiện tuyên truyền, phổ biến và công khai giá bán nước sạch, thời điểm áp dụng trên các phương tiện thông tin đại chúng (Đài Phát thành – Truyền hình Phú Thọ, Báo Phú Thọ và các phương tiện truyền  thông khác) để các đối tượng sử dụng nước sạch biết và thực hiện.</w:t>
      </w:r>
    </w:p>
    <w:p>
      <w:pPr>
        <w:jc w:val="both"/>
      </w:pPr>
      <w:r>
        <w:rPr>
          <w:b w:val="0"/>
          <w:i w:val="0"/>
        </w:rPr>
        <w:t>Điều 3. Chánh Văn phòng UBND tỉnh; Thủ trưởng các sở, ban, ngành; Chủ  tịch UBND các huyện, thành, thị; Công ty cổ phần Cấp nước Phú Thọ và các đơn vị, cá nhân, hộ gia đình có liên quan căn cứ Quyết định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w:t>
            </w:r>
            <w:r>
              <w:rPr>
                <w:b/>
                <w:i w:val="0"/>
              </w:rPr>
              <w:t xml:space="preserve">  </w:t>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 xml:space="preserve">  Bùi Văn Quang</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