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 TT/LB Hướng dẫn việc tổ chức tiếp nhận, phân phối thanh toán và nộp ngân sách Nhà nước số Hải sản  do các đội tàu đánh cá của Liên Xô đánh bắt  ở vùng biển Việt Nam giao nộp.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HẢI SẢN</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val="0"/>
          <w:i/>
        </w:rPr>
        <w:t xml:space="preserve"> </w:t>
      </w:r>
      <w:r>
        <w:rPr>
          <w:b/>
          <w:i w:val="0"/>
        </w:rPr>
        <w:t>THÔNG TƯ LIÊN B</w:t>
      </w:r>
      <w:r>
        <w:rPr>
          <w:b/>
          <w:i w:val="0"/>
        </w:rPr>
        <w:t>Ộ</w:t>
      </w:r>
    </w:p>
    <w:p>
      <w:r>
        <w:rPr>
          <w:b/>
          <w:i w:val="0"/>
        </w:rPr>
        <w:t>Hư</w:t>
      </w:r>
      <w:r>
        <w:rPr>
          <w:b/>
          <w:i w:val="0"/>
        </w:rPr>
        <w:t>ớng dẫn việc tổ chức tiếp nhận, phân phối thanh toán và nộ</w:t>
      </w:r>
      <w:r>
        <w:rPr>
          <w:b/>
          <w:i w:val="0"/>
        </w:rPr>
        <w:t xml:space="preserve">p ngân sách </w:t>
      </w:r>
      <w:r>
        <w:br/>
      </w:r>
      <w:r>
        <w:rPr>
          <w:b/>
          <w:i w:val="0"/>
        </w:rPr>
        <w:br/>
        <w:t xml:space="preserve">      nhà nư</w:t>
      </w:r>
      <w:r>
        <w:rPr>
          <w:b/>
          <w:i w:val="0"/>
        </w:rPr>
        <w:t xml:space="preserve">ớc số hải sản </w:t>
      </w:r>
      <w:r>
        <w:rPr>
          <w:b/>
          <w:i w:val="0"/>
        </w:rPr>
        <w:t>do các đ</w:t>
      </w:r>
      <w:r>
        <w:rPr>
          <w:b/>
          <w:i w:val="0"/>
        </w:rPr>
        <w:t>ộ</w:t>
      </w:r>
      <w:r>
        <w:rPr>
          <w:b/>
          <w:i w:val="0"/>
        </w:rPr>
        <w:t>i tàu đánh cá c</w:t>
      </w:r>
      <w:r>
        <w:rPr>
          <w:b/>
          <w:i w:val="0"/>
        </w:rPr>
        <w:t>ủ</w:t>
      </w:r>
      <w:r>
        <w:rPr>
          <w:b/>
          <w:i w:val="0"/>
        </w:rPr>
        <w:t>a Liên Xô đánh b</w:t>
      </w:r>
      <w:r>
        <w:rPr>
          <w:b/>
          <w:i w:val="0"/>
        </w:rPr>
        <w:t xml:space="preserve">ắt ở vùng biển </w:t>
      </w:r>
      <w:r>
        <w:br/>
      </w:r>
      <w:r>
        <w:rPr>
          <w:b/>
          <w:i w:val="0"/>
        </w:rPr>
        <w:br/>
        <w:t xml:space="preserve">      Việt Nam giao nộp.</w:t>
      </w:r>
    </w:p>
    <w:p>
      <w:r>
        <w:rPr>
          <w:b w:val="0"/>
          <w:i w:val="0"/>
        </w:rPr>
        <w:t>Được uỷ nhiệm của Chính phủ, Bộ Hải sản đã ký hiệp định với Bộ nghề cá Liên xô cho tàu đánh cá trong một số vùng biển nước ta dưới hình thức nộp một số sản lượng khai thác được.</w:t>
      </w:r>
    </w:p>
    <w:p>
      <w:r>
        <w:rPr>
          <w:b w:val="0"/>
          <w:i w:val="0"/>
        </w:rPr>
        <w:t>Để thực hiện tốt việc tiếp nhận, phân phối, thanh toán và nộp  ngân sách Nhà nước số sản lượng hải sản do các đội tàu đánh cá của Bạn giao nộp, Liên Bộ Hải sản - Tài chính quy định như sau:</w:t>
      </w:r>
    </w:p>
    <w:p>
      <w:r>
        <w:rPr>
          <w:b w:val="0"/>
          <w:i w:val="0"/>
        </w:rPr>
        <w:t>1. Số hải sản do tàu đánh cá của Bạn giao nộp là sản phẩm của ta phải được tổ chức tiếp nhận phân phối chu đáo, nhanh chóng theo chỉ tiêu kế hoạch Nhà nước và thanh toán nộp kịp thời đầy đủ vào ngân sách Trung ương sau một đợt tiếp nhận.</w:t>
      </w:r>
    </w:p>
    <w:p>
      <w:r>
        <w:rPr>
          <w:b w:val="0"/>
          <w:i w:val="0"/>
        </w:rPr>
        <w:t>2. Công ty Hải sản Trung ương thuộc Bộ Hải sản có nhiệm vụ đúng ra tiếp nhận phân phối, thanh toán và nộp vào ngân sách Trung ương như nội dung điều 1 quy định.</w:t>
      </w:r>
    </w:p>
    <w:p>
      <w:r>
        <w:rPr>
          <w:b w:val="0"/>
          <w:i w:val="0"/>
        </w:rPr>
        <w:t>3. Để thực hiện nhiệm vụ của mình, Công ty Hải sản Trung ương làm nhiệm vụ bán buôn, được phân phối sử dụng trong toàn ngành một khoản chiết khấu nhất định.</w:t>
      </w:r>
    </w:p>
    <w:p>
      <w:r>
        <w:rPr>
          <w:b w:val="0"/>
          <w:i w:val="0"/>
        </w:rPr>
        <w:t>Tạm thời quy định mức chiết khấu này là 254 đồng cho 1 tấn sản phẩm (nội dung chi tiết của chiết khấu ghi ở bảng phụ kèm theo thông tư).</w:t>
      </w:r>
    </w:p>
    <w:p>
      <w:r>
        <w:rPr>
          <w:b w:val="0"/>
          <w:i w:val="0"/>
        </w:rPr>
        <w:t>Trường hợp có những khoản chi cần thiết  nằm ngoài dự kiến đã ghi ở bảng phụ kèm theo thông tư, làm cho số chiết khấu theo mức 254 đồng/tấn không đủ đảm bảo chi tiêu thì Công ty Hải sản Trung ương phải Báo cáo Bộ Hải sản (đồng thời gửi Bộ Tài chính ) xét quyết định.</w:t>
      </w:r>
    </w:p>
    <w:p>
      <w:r>
        <w:rPr>
          <w:b w:val="0"/>
          <w:i w:val="0"/>
        </w:rPr>
        <w:t>Mức chiết khấu quy định trên thi hành trong 2 năm (1979 - 1980). Hàng năm, căn cứ vào mức chiết khấu này Công ty Hải sản Trung ương lập kế hoạch tiết kiệm chi phí báo cáo Bộ Hải sản duyệt. Công ty chịu trách nhiệm thực hiện kế hoạch chiết khấu được duyệt hàng năm với hiệu quả cao nhất và theo kết quả thực hiện nhiệm vụ kế hoạch trong đó có kế hoạch chiết khấu của từng trạm và toàn ngành Công ty được trích lập các quỹ xí nghiệp theo chế độ đối với Công ty bán buôn.</w:t>
      </w:r>
    </w:p>
    <w:p>
      <w:r>
        <w:rPr>
          <w:b w:val="0"/>
          <w:i w:val="0"/>
        </w:rPr>
        <w:t>4. Căn cứ vào Nghị định thư ký với Bạn và các thông báo của Bạn Công ty Hải sản Trung ương chủ động lập kế hoạch, tiếp nhận và tiêu thụ hải sản hàng năm có chia quý - bao gồm kế hoạch hiện vật và kế hoạch giá trị: số lượng hải sản tiếp nhận, dự kiến phân phối theo kế hoạch, doanh thu, chiết khấu và khoản phải nộp vào ngân sách gửi Bộ Hải sản duyệt để thi hành (đồng thời gửi Bộ Tài chính). Sau khi kế hoạch được duyệt Công ty Hải sản thông báo cho cơ quan hành chính có quan hệ trực tiếp thường xuyên biết để thực hiện thu nộp.</w:t>
      </w:r>
    </w:p>
    <w:p>
      <w:r>
        <w:rPr>
          <w:b w:val="0"/>
          <w:i w:val="0"/>
        </w:rPr>
        <w:t>5. Số tiền Công ty Hải sản Trung ương phải nộp vào ngân sách được tính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phải nộp ngân sách</w:t>
            </w:r>
          </w:p>
        </w:tc>
        <w:tc>
          <w:tcPr>
            <w:tcW w:type="dxa" w:w="1728"/>
          </w:tcPr>
          <w:p>
            <w:r>
              <w:rPr>
                <w:b w:val="0"/>
                <w:i w:val="0"/>
              </w:rPr>
              <w:br/>
            </w:r>
            <w:r>
              <w:rPr>
                <w:b w:val="0"/>
                <w:i w:val="0"/>
              </w:rPr>
              <w:t>=</w:t>
            </w:r>
          </w:p>
        </w:tc>
        <w:tc>
          <w:tcPr>
            <w:tcW w:type="dxa" w:w="1728"/>
          </w:tcPr>
          <w:p>
            <w:r>
              <w:rPr>
                <w:b w:val="0"/>
                <w:i w:val="0"/>
              </w:rPr>
              <w:br/>
            </w:r>
            <w:r>
              <w:rPr>
                <w:b w:val="0"/>
                <w:i w:val="0"/>
              </w:rPr>
              <w:t>Doanh thu</w:t>
            </w:r>
          </w:p>
        </w:tc>
        <w:tc>
          <w:tcPr>
            <w:tcW w:type="dxa" w:w="1728"/>
          </w:tcPr>
          <w:p>
            <w:r>
              <w:rPr>
                <w:b w:val="0"/>
                <w:i w:val="0"/>
              </w:rPr>
              <w:br/>
            </w:r>
            <w:r>
              <w:rPr>
                <w:b w:val="0"/>
                <w:i w:val="0"/>
              </w:rPr>
              <w:t>-</w:t>
            </w:r>
          </w:p>
        </w:tc>
        <w:tc>
          <w:tcPr>
            <w:tcW w:type="dxa" w:w="1728"/>
          </w:tcPr>
          <w:p>
            <w:r>
              <w:rPr>
                <w:b w:val="0"/>
                <w:i w:val="0"/>
              </w:rPr>
              <w:br/>
            </w:r>
            <w:r>
              <w:rPr>
                <w:b w:val="0"/>
                <w:i w:val="0"/>
              </w:rPr>
              <w:t>Chiết khấu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Doanh thu</w:t>
            </w:r>
          </w:p>
        </w:tc>
        <w:tc>
          <w:tcPr>
            <w:tcW w:type="dxa" w:w="1728"/>
          </w:tcPr>
          <w:p>
            <w:r>
              <w:rPr>
                <w:b w:val="0"/>
                <w:i w:val="0"/>
              </w:rPr>
              <w:br/>
            </w:r>
            <w:r>
              <w:rPr>
                <w:b w:val="0"/>
                <w:i w:val="0"/>
              </w:rPr>
              <w:t>=</w:t>
            </w:r>
          </w:p>
        </w:tc>
        <w:tc>
          <w:tcPr>
            <w:tcW w:type="dxa" w:w="1728"/>
          </w:tcPr>
          <w:p>
            <w:r>
              <w:rPr>
                <w:b w:val="0"/>
                <w:i w:val="0"/>
              </w:rPr>
              <w:br/>
            </w:r>
            <w:r>
              <w:rPr>
                <w:b w:val="0"/>
                <w:i w:val="0"/>
              </w:rPr>
              <w:t>Giá giao hiện hành theo loại quy định</w:t>
            </w:r>
          </w:p>
        </w:tc>
        <w:tc>
          <w:tcPr>
            <w:tcW w:type="dxa" w:w="1728"/>
          </w:tcPr>
          <w:p>
            <w:r>
              <w:rPr>
                <w:b w:val="0"/>
                <w:i w:val="0"/>
              </w:rPr>
              <w:br/>
            </w:r>
            <w:r>
              <w:rPr>
                <w:b w:val="0"/>
                <w:i w:val="0"/>
              </w:rPr>
              <w:t>x</w:t>
            </w:r>
          </w:p>
        </w:tc>
        <w:tc>
          <w:tcPr>
            <w:tcW w:type="dxa" w:w="1728"/>
          </w:tcPr>
          <w:p>
            <w:r>
              <w:rPr>
                <w:b w:val="0"/>
                <w:i w:val="0"/>
              </w:rPr>
              <w:br/>
            </w:r>
            <w:r>
              <w:rPr>
                <w:b w:val="0"/>
                <w:i w:val="0"/>
              </w:rPr>
              <w:t>Số lượng hải sản thực tế đã giao cho người tiêu thụ</w:t>
            </w:r>
          </w:p>
        </w:tc>
      </w:tr>
    </w:tbl>
    <w:p>
      <w:r>
        <w:rPr>
          <w:b w:val="0"/>
          <w:i w:val="0"/>
        </w:rPr>
        <w:t>a. Giao hàng theo chỉ tiêu kế hoạch, phân phối đã được duyệt và làm thủ tục thanh toán với khách hàng theo chế độ thanh toán hiện hành.</w:t>
      </w:r>
    </w:p>
    <w:p>
      <w:r>
        <w:rPr>
          <w:b w:val="0"/>
          <w:i w:val="0"/>
        </w:rPr>
        <w:t>b. Đồng thời với việc làm chứng từ thanh toán, đơn vị làm giấy nộp tiền vào ngân sách Trung ương tài khoản loại 1 khoản 8 hạng 3 mục 7 tại Ngân hàng Nhà nước nơi đơn vị mở tài khoản. Khi người mua trả tiền thì số nộp được thực hiện ngay tại Ngân hàng Nhà nước.</w:t>
      </w:r>
    </w:p>
    <w:p>
      <w:r>
        <w:rPr>
          <w:b w:val="0"/>
          <w:i w:val="0"/>
        </w:rPr>
        <w:t>c. Đơn vị trực thuộc của Công ty Hải sản Trung ương đứng ra nhận và phân phối hải sản báo cáo về Công ty Hải sản Trung ương và Ty tài chính địa phương nơi nhận hải sản: số hải sản đã nhận phân phối vá số tiền đã nộp vào ngân sách Trung ương sau mỗi chuyến nhận.</w:t>
      </w:r>
    </w:p>
    <w:p>
      <w:r>
        <w:rPr>
          <w:b w:val="0"/>
          <w:i w:val="0"/>
        </w:rPr>
        <w:t>6. Mỗi lần nhận hải sản do tàu đánh cá của Bạn giao, Công ty Hải sản Trung ương (hoặc đơn vị cơ sở trực thuộc Công ty Hải sản Trung ương được Công ty Hải sản Trung ương uỷ nhiệm đứng ra nhận hải sản và thanh toán tại các cảng cá quy định) có nhiệm vụ:</w:t>
      </w:r>
    </w:p>
    <w:p>
      <w:r>
        <w:rPr>
          <w:b w:val="0"/>
          <w:i w:val="0"/>
        </w:rPr>
        <w:t>7. Công ty Hải sản Trung ương hạch toán riêng số thu, số chi  về khoản hải sản do tàu đánh cá Bạn nộp này. Từ ngày 1 đến ngày 5 mỗi tháng Công ty tổng hợp báo cáo (theo mẫu đính kèm) về Bộ Hải sản đồng thời gửi Bộ Tài chính tình hình tháng trước về số hải sản đã được phân phối, doanh thu, số tiền đã nộp vào ngân sách Trung ương của tất cả các điểm giao nhận với tàu Bạn. Hàng năm Công ty tổng hợp báo cáo quyết toán số hải sản đã nhận, tình hình phân phối theo kế hoạch, daonh thu, chi phí, số tiền phải nộp vào ngân sách Trung ương gửi về Bộ Hải sản và Bộ Tài chính chậm nhất là 20 ngày sau khi kết thúc năm.</w:t>
      </w:r>
    </w:p>
    <w:p>
      <w:r>
        <w:rPr>
          <w:b w:val="0"/>
          <w:i w:val="0"/>
        </w:rPr>
        <w:t>8. Ty Tài chính nơi có cảng cá được quy định là cảng nhận hải sản của đánh cá Bạn giao, có trách nhiệm giám đốc việc thực hiện thông tư Liên Bộ này trong phạm vị địa phương mình và từ ngày 1 đến ngày 5 mỗi tháng báo cáo về Bộ Tài chính đồng gửi Bộ Hải sản nhận xét của mình về tình hình giao nhận, thanh toán và số tiền đã nộp vào ngân sách Trung ương của tháng trước tại địa phương mình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w:t>
            </w:r>
            <w:r>
              <w:rPr>
                <w:b/>
                <w:i w:val="0"/>
              </w:rPr>
              <w:t xml:space="preserve"> TRƯ</w:t>
            </w:r>
            <w:r>
              <w:rPr>
                <w:b/>
                <w:i w:val="0"/>
              </w:rPr>
              <w:t>ỞNG BỘ HẢI SẢN</w:t>
            </w:r>
            <w:r>
              <w:rPr>
                <w:b w:val="0"/>
                <w:i w:val="0"/>
              </w:rPr>
              <w:br/>
            </w:r>
            <w:r>
              <w:rPr>
                <w:b/>
                <w:i w:val="0"/>
              </w:rPr>
              <w:t>THỨ</w:t>
            </w:r>
            <w:r>
              <w:rPr>
                <w:b/>
                <w:i w:val="0"/>
              </w:rPr>
              <w:t xml:space="preserve"> TRƯ</w:t>
            </w:r>
            <w:r>
              <w:rPr>
                <w:b/>
                <w:i w:val="0"/>
              </w:rPr>
              <w:t>ỞNG</w:t>
            </w:r>
            <w:r>
              <w:rPr>
                <w:b w:val="0"/>
                <w:i w:val="0"/>
              </w:rPr>
              <w:br/>
            </w:r>
            <w:r>
              <w:rPr>
                <w:b/>
                <w:i/>
              </w:rPr>
              <w:t>(</w:t>
            </w:r>
            <w:r>
              <w:rPr>
                <w:b/>
                <w:i/>
              </w:rPr>
              <w:t>Đ</w:t>
            </w:r>
            <w:r>
              <w:rPr>
                <w:b/>
                <w:i/>
              </w:rPr>
              <w:t>ã ký)</w:t>
            </w:r>
            <w:r>
              <w:rPr>
                <w:b w:val="0"/>
                <w:i w:val="0"/>
              </w:rPr>
              <w:br/>
            </w:r>
            <w:r>
              <w:rPr>
                <w:b/>
                <w:i w:val="0"/>
              </w:rPr>
              <w:t xml:space="preserve"> </w:t>
            </w:r>
            <w:r>
              <w:rPr>
                <w:b w:val="0"/>
                <w:i w:val="0"/>
              </w:rPr>
              <w:br/>
            </w:r>
            <w:r>
              <w:rPr>
                <w:b/>
                <w:i/>
              </w:rPr>
              <w:t>Nguyễn Hồng Cấn</w:t>
            </w:r>
          </w:p>
        </w:tc>
        <w:tc>
          <w:tcPr>
            <w:tcW w:type="dxa" w:w="4320"/>
          </w:tcPr>
          <w:p>
            <w:r>
              <w:rPr>
                <w:b w:val="0"/>
                <w:i w:val="0"/>
              </w:rPr>
              <w:br/>
            </w:r>
            <w:r>
              <w:rPr>
                <w:b/>
                <w:i w:val="0"/>
              </w:rPr>
              <w:t>KT. BỘ</w:t>
            </w:r>
            <w:r>
              <w:rPr>
                <w:b/>
                <w:i w:val="0"/>
              </w:rPr>
              <w:t xml:space="preserve"> TRƯ</w:t>
            </w:r>
            <w:r>
              <w:rPr>
                <w:b/>
                <w:i w:val="0"/>
              </w:rPr>
              <w:t>ỞNG BỘ TÀI CHÍNH</w:t>
            </w:r>
            <w:r>
              <w:rPr>
                <w:b w:val="0"/>
                <w:i w:val="0"/>
              </w:rPr>
              <w:br/>
            </w:r>
            <w:r>
              <w:rPr>
                <w:b/>
                <w:i w:val="0"/>
              </w:rPr>
              <w:t>THỨ</w:t>
            </w:r>
            <w:r>
              <w:rPr>
                <w:b/>
                <w:i w:val="0"/>
              </w:rPr>
              <w:t xml:space="preserve"> TRƯ</w:t>
            </w:r>
            <w:r>
              <w:rPr>
                <w:b/>
                <w:i w:val="0"/>
              </w:rPr>
              <w:t>ỞNG</w:t>
            </w:r>
            <w:r>
              <w:rPr>
                <w:b w:val="0"/>
                <w:i w:val="0"/>
              </w:rPr>
              <w:br/>
            </w:r>
            <w:r>
              <w:rPr>
                <w:b/>
                <w:i/>
              </w:rPr>
              <w:t>(</w:t>
            </w:r>
            <w:r>
              <w:rPr>
                <w:b/>
                <w:i/>
              </w:rPr>
              <w:t>Đ</w:t>
            </w:r>
            <w:r>
              <w:rPr>
                <w:b/>
                <w:i/>
              </w:rPr>
              <w:t>ã ký)</w:t>
            </w:r>
            <w:r>
              <w:rPr>
                <w:b w:val="0"/>
                <w:i w:val="0"/>
              </w:rPr>
              <w:br/>
            </w:r>
            <w:r>
              <w:rPr>
                <w:b/>
                <w:i w:val="0"/>
              </w:rPr>
              <w:t xml:space="preserve"> </w:t>
            </w:r>
            <w:r>
              <w:rPr>
                <w:b w:val="0"/>
                <w:i w:val="0"/>
              </w:rPr>
              <w:br/>
            </w:r>
            <w:r>
              <w:rPr>
                <w:b/>
                <w:i/>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