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Thông tư số 18/2013/TT-NHNN Về việc bãi bỏ một số văn bản quy phạm pháp luật </w:t>
        <w:br/>
        <w:t>do Thống đốc Ngân hàng Nhà nước Việt Nam ban hành</w:t>
      </w:r>
    </w:p>
    <w:p>
      <w:r>
        <w:rPr>
          <w:b w:val="0"/>
          <w:i w:val="0"/>
        </w:rPr>
        <w:br/>
      </w:r>
      <w:r>
        <w:rPr>
          <w:b w:val="0"/>
          <w:i w:val="0"/>
        </w:rPr>
        <w:br/>
      </w:r>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18/2013/TT-NHNN</w:t>
        <w:br/>
        <w:t xml:space="preserve">     </w:t>
      </w:r>
      <w:r>
        <w:rPr>
          <w:b w:val="0"/>
          <w:i w:val="0"/>
        </w:rPr>
        <w:br/>
      </w:r>
      <w:r>
        <w:rPr>
          <w:b w:val="0"/>
          <w:i/>
        </w:rPr>
        <w:br/>
        <w:t xml:space="preserve">      Hà Nội, ngày 22 tháng 7 năm 2013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18/2013/TT-NHNN</w:t>
        <w:br/>
        <w:t xml:space="preserve">     </w:t>
      </w:r>
      <w:r>
        <w:rPr>
          <w:b w:val="0"/>
          <w:i w:val="0"/>
        </w:rPr>
        <w:br/>
      </w:r>
      <w:r>
        <w:rPr>
          <w:b w:val="0"/>
          <w:i/>
        </w:rPr>
        <w:br/>
        <w:t xml:space="preserve">      Hà Nội, ngày 22 tháng 7 năm 2013</w:t>
        <w:br/>
        <w:t xml:space="preserve">     </w:t>
      </w:r>
      <w:r>
        <w:rPr>
          <w:b w:val="0"/>
          <w:i w:val="0"/>
        </w:rPr>
        <w:br/>
      </w:r>
      <w:r>
        <w:rPr>
          <w:b w:val="0"/>
          <w:i w:val="0"/>
        </w:rPr>
        <w:br/>
      </w:r>
    </w:p>
    <w:p>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NGÂN HÀNG NHÀ NƯỚC VIỆT NAM</w:t>
        <w:br/>
        <w:t xml:space="preserve">      </w:t>
      </w:r>
      <w:r>
        <w:rPr>
          <w:b w:val="0"/>
          <w:i w:val="0"/>
        </w:rPr>
        <w:br/>
      </w:r>
      <w:r>
        <w:rPr>
          <w:b w:val="0"/>
          <w:i w:val="0"/>
        </w:rPr>
        <w:br/>
      </w:r>
    </w:p>
    <w:p>
      <w:r>
        <w:rPr>
          <w:b w:val="0"/>
          <w:i w:val="0"/>
        </w:rPr>
        <w:br/>
        <w:t xml:space="preserve">       NGÂN HÀNG NHÀ NƯỚC VIỆT NAM</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18/2013/TT-NHNN</w:t>
        <w:br/>
        <w:t xml:space="preserve">     </w:t>
      </w:r>
      <w:r>
        <w:rPr>
          <w:b w:val="0"/>
          <w:i w:val="0"/>
        </w:rPr>
        <w:br/>
      </w:r>
      <w:r>
        <w:rPr>
          <w:b w:val="0"/>
          <w:i/>
        </w:rPr>
        <w:br/>
        <w:t xml:space="preserve">      Hà Nội, ngày 22 tháng 7 năm 2013</w:t>
        <w:br/>
        <w:t xml:space="preserve">     </w:t>
      </w:r>
      <w:r>
        <w:rPr>
          <w:b w:val="0"/>
          <w:i w:val="0"/>
        </w:rPr>
        <w:br/>
      </w:r>
    </w:p>
    <w:p>
      <w:pPr>
        <w:jc w:val="center"/>
      </w:pPr>
      <w:r>
        <w:rPr>
          <w:b w:val="0"/>
          <w:i w:val="0"/>
        </w:rPr>
        <w:br/>
        <w:t xml:space="preserve">      Số: 18/2013/TT-NHNN</w:t>
        <w:br/>
        <w:t xml:space="preserve">     </w:t>
      </w:r>
    </w:p>
    <w:p>
      <w:pPr>
        <w:jc w:val="center"/>
      </w:pPr>
      <w:r>
        <w:rPr>
          <w:b w:val="0"/>
          <w:i w:val="0"/>
        </w:rPr>
        <w:br/>
        <w:t xml:space="preserve">      Hà Nội, ngày 22 tháng 7 năm 2013</w:t>
        <w:br/>
        <w:t xml:space="preserve">     </w:t>
      </w:r>
    </w:p>
    <w:p>
      <w:r>
        <w:rPr>
          <w:b/>
          <w:i w:val="0"/>
        </w:rPr>
        <w:t>THÔNG TƯ</w:t>
      </w:r>
    </w:p>
    <w:p>
      <w:r>
        <w:rPr>
          <w:b/>
          <w:i w:val="0"/>
        </w:rPr>
        <w:t>V</w:t>
      </w:r>
      <w:r>
        <w:rPr>
          <w:b/>
          <w:i w:val="0"/>
        </w:rPr>
        <w:t xml:space="preserve">ề việc bãi bỏ một số văn bản quy phạm pháp luật </w:t>
      </w:r>
    </w:p>
    <w:p>
      <w:r>
        <w:rPr>
          <w:b/>
          <w:i w:val="0"/>
        </w:rPr>
        <w:t xml:space="preserve">do </w:t>
      </w:r>
      <w:r>
        <w:rPr>
          <w:b/>
          <w:i w:val="0"/>
        </w:rPr>
        <w:t>T</w:t>
      </w:r>
      <w:r>
        <w:rPr>
          <w:b/>
          <w:i w:val="0"/>
        </w:rPr>
        <w:t xml:space="preserve">hống đốc </w:t>
      </w:r>
      <w:r>
        <w:rPr>
          <w:b/>
          <w:i w:val="0"/>
        </w:rPr>
        <w:t>N</w:t>
      </w:r>
      <w:r>
        <w:rPr>
          <w:b/>
          <w:i w:val="0"/>
        </w:rPr>
        <w:t xml:space="preserve">gân hàng </w:t>
      </w:r>
      <w:r>
        <w:rPr>
          <w:b/>
          <w:i w:val="0"/>
        </w:rPr>
        <w:t>N</w:t>
      </w:r>
      <w:r>
        <w:rPr>
          <w:b/>
          <w:i w:val="0"/>
        </w:rPr>
        <w:t xml:space="preserve">hà nước </w:t>
      </w:r>
      <w:r>
        <w:rPr>
          <w:b/>
          <w:i w:val="0"/>
        </w:rPr>
        <w:t>V</w:t>
      </w:r>
      <w:r>
        <w:rPr>
          <w:b/>
          <w:i w:val="0"/>
        </w:rPr>
        <w:t xml:space="preserve">iệt </w:t>
      </w:r>
      <w:r>
        <w:rPr>
          <w:b/>
          <w:i w:val="0"/>
        </w:rPr>
        <w:t>N</w:t>
      </w:r>
      <w:r>
        <w:rPr>
          <w:b/>
          <w:i w:val="0"/>
        </w:rPr>
        <w:t>am ban hành</w:t>
      </w:r>
    </w:p>
    <w:p>
      <w:r>
        <w:rPr>
          <w:b w:val="0"/>
          <w:i w:val="0"/>
        </w:rPr>
        <w:t>__________________</w:t>
      </w:r>
    </w:p>
    <w:p>
      <w:r>
        <w:rPr>
          <w:b w:val="0"/>
          <w:i/>
        </w:rPr>
        <w:t>Căn cứ Luật Ngân hàng Nhà nước Việt Nam số 46/2010/QH12 ngày 16/6/2010;</w:t>
      </w:r>
    </w:p>
    <w:p>
      <w:r>
        <w:rPr>
          <w:b w:val="0"/>
          <w:i/>
        </w:rPr>
        <w:t>Căn cứ Luật Ban hành văn bản quy phạm pháp luật số 17/2008/QH12 ngày 03/6/2008;</w:t>
      </w:r>
    </w:p>
    <w:p>
      <w:r>
        <w:rPr>
          <w:b w:val="0"/>
          <w:i/>
        </w:rPr>
        <w:t>Căn cứ Nghị định s</w:t>
      </w:r>
      <w:r>
        <w:rPr>
          <w:b w:val="0"/>
          <w:i/>
        </w:rPr>
        <w:t xml:space="preserve">ố </w:t>
      </w:r>
      <w:r>
        <w:rPr>
          <w:b w:val="0"/>
          <w:i/>
        </w:rPr>
        <w:t>96/2008/NĐ-CP ngày 26/8/2008 của Chính phủ quy định chức năng, nhiệm vụ, quyền hạn và cơ cấu tổ chức của Ngân h</w:t>
      </w:r>
      <w:r>
        <w:rPr>
          <w:b w:val="0"/>
          <w:i/>
        </w:rPr>
        <w:t>à</w:t>
      </w:r>
      <w:r>
        <w:rPr>
          <w:b w:val="0"/>
          <w:i/>
        </w:rPr>
        <w:t>ng Nhà nước Việt Nam;</w:t>
      </w:r>
    </w:p>
    <w:p>
      <w:r>
        <w:rPr>
          <w:b w:val="0"/>
          <w:i/>
        </w:rPr>
        <w:t>Xét đề nghị của Vụ trưởng Vụ Pháp chế;</w:t>
      </w:r>
    </w:p>
    <w:p>
      <w:r>
        <w:rPr>
          <w:b w:val="0"/>
          <w:i/>
        </w:rPr>
        <w:t>Thống đốc Ngân hàng Nhà nước Việt Nam ban hành Thông tư về việc bãi b</w:t>
      </w:r>
      <w:r>
        <w:rPr>
          <w:b w:val="0"/>
          <w:i/>
        </w:rPr>
        <w:t xml:space="preserve">ỏ </w:t>
      </w:r>
      <w:r>
        <w:rPr>
          <w:b w:val="0"/>
          <w:i/>
        </w:rPr>
        <w:t>một s</w:t>
      </w:r>
      <w:r>
        <w:rPr>
          <w:b w:val="0"/>
          <w:i/>
        </w:rPr>
        <w:t xml:space="preserve">ố </w:t>
      </w:r>
      <w:r>
        <w:rPr>
          <w:b w:val="0"/>
          <w:i/>
        </w:rPr>
        <w:t>văn bản quy phạm pháp luật do Th</w:t>
      </w:r>
      <w:r>
        <w:rPr>
          <w:b w:val="0"/>
          <w:i/>
        </w:rPr>
        <w:t>ố</w:t>
      </w:r>
      <w:r>
        <w:rPr>
          <w:b w:val="0"/>
          <w:i/>
        </w:rPr>
        <w:t>ng đốc Ngân hàng Nhà nước Việt Nam ban hành</w:t>
      </w:r>
      <w:r>
        <w:rPr>
          <w:b w:val="0"/>
          <w:i/>
        </w:rPr>
        <w:t>,</w:t>
      </w:r>
    </w:p>
    <w:p>
      <w:r>
        <w:rPr>
          <w:b/>
          <w:i w:val="0"/>
        </w:rPr>
        <w:t xml:space="preserve">Điều 1. </w:t>
      </w:r>
      <w:r>
        <w:rPr>
          <w:b w:val="0"/>
          <w:i w:val="0"/>
        </w:rPr>
        <w:t>Bãi bỏ 44 văn bản quy phạm pháp luật do Thống đốc Ngân hàng Nhà nước Việt Nam ban hành trong giai đoạn từ ngày 01/01/1997 đến 31/12/2012 tại Phụ lục kèm theo Thông tư này.</w:t>
      </w:r>
    </w:p>
    <w:p>
      <w:r>
        <w:rPr>
          <w:b/>
          <w:i w:val="0"/>
        </w:rPr>
        <w:t xml:space="preserve">Điều 2. </w:t>
      </w:r>
      <w:r>
        <w:rPr>
          <w:b w:val="0"/>
          <w:i w:val="0"/>
        </w:rPr>
        <w:t>Thông tư này có hiệu lực thi hành kể từ ngày 04 tháng 9 năm 2013.</w:t>
      </w:r>
    </w:p>
    <w:p>
      <w:pPr>
        <w:jc w:val="both"/>
      </w:pPr>
      <w:r>
        <w:rPr>
          <w:b/>
          <w:i w:val="0"/>
        </w:rPr>
        <w:t xml:space="preserve">Điều 3. </w:t>
      </w:r>
      <w:r>
        <w:rPr>
          <w:b w:val="0"/>
          <w:i w:val="0"/>
        </w:rPr>
        <w:t>Chánh Văn phòng, Vụ trưởng Vụ Pháp chế, Thủ trưởng các đơn vị thuộc Ngân hàng Nhà nước, Giám đốc Ngân hàng Nhà nước Chi nhánh tỉnh, thành phố trực thuộc Trung ương, Chủ tịch Hội đồng quản trị, Chủ tịch Hội đồng Thành viên, Tổng Giám đốc (Giám đốc) tổ chức tín dụng, Tổng Giám đốc (Giám đốc) chi nhánh ngân hàng nước ngoài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THỐNG ĐỐC</w:t>
            </w:r>
            <w:r>
              <w:rPr>
                <w:b w:val="0"/>
                <w:i w:val="0"/>
              </w:rPr>
              <w:br/>
            </w:r>
            <w:r>
              <w:rPr>
                <w:b/>
                <w:i w:val="0"/>
              </w:rPr>
              <w:t>Nguyễn Văn Bình</w:t>
            </w:r>
          </w:p>
        </w:tc>
      </w:tr>
    </w:tbl>
    <w:p>
      <w:pPr>
        <w:jc w:val="center"/>
      </w:pPr>
      <w:r>
        <w:rPr>
          <w:b/>
          <w:i w:val="0"/>
        </w:rPr>
        <w:t>PHỤ LỤC</w:t>
      </w:r>
    </w:p>
    <w:p>
      <w:pPr>
        <w:jc w:val="center"/>
      </w:pPr>
      <w:r>
        <w:rPr>
          <w:b/>
          <w:i w:val="0"/>
        </w:rPr>
        <w:t>DANH MỤC VĂN BẢN QUY PHẠM PHÁP LUẬT DO THỐNG ĐỐC NGÂN HÀNG NHÀ NƯỚC VIỆT NAM BAN HÀNH BỊ BÃI BỎ</w:t>
      </w:r>
    </w:p>
    <w:p>
      <w:pPr>
        <w:jc w:val="center"/>
      </w:pPr>
      <w:r>
        <w:rPr>
          <w:b w:val="0"/>
          <w:i/>
        </w:rPr>
        <w:t>(Ban hành kèm theo Thông tư số 18/2013/TT-NHNN ngày 22/7/2013 của Thống đốc Ngân hàng Nhà nước Việt Nam về việc bãi bỏ một số văn bản quy phạm pháp luật do Thống đốc Ngân hàng Nhà nước Việt Nam ban hành)</w:t>
      </w:r>
    </w:p>
    <w:tbl>
      <w:tblPr>
        <w:tblStyle w:val="TableGrid"/>
        <w:tblW w:type="auto" w:w="0"/>
        <w:tblLook w:firstColumn="1" w:firstRow="1" w:lastColumn="0" w:lastRow="0" w:noHBand="0" w:noVBand="1" w:val="04A0"/>
      </w:tblPr>
      <w:tblGrid>
        <w:gridCol w:w="4320"/>
        <w:gridCol w:w="4320"/>
      </w:tblGrid>
      <w:tr>
        <w:tc>
          <w:tcPr>
            <w:tcW w:type="dxa" w:w="4320"/>
          </w:tcPr>
          <w:p>
            <w:r>
              <w:rPr>
                <w:b/>
                <w:i w:val="0"/>
              </w:rPr>
              <w:t>STT</w:t>
            </w:r>
          </w:p>
        </w:tc>
        <w:tc>
          <w:tcPr>
            <w:tcW w:type="dxa" w:w="4320"/>
          </w:tcPr>
          <w:p>
            <w:r>
              <w:rPr>
                <w:b w:val="0"/>
                <w:i w:val="0"/>
              </w:rPr>
              <w:br/>
            </w:r>
            <w:r>
              <w:rPr>
                <w:b/>
                <w:i w:val="0"/>
              </w:rPr>
              <w:t>Tên văn bản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