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19 - TC/TCT HƯớNG DẫN THI HàNH QUYếT ÐịNH CủA Bộ TRƯởNG Bộ TàI CHíNH Số 65 TC/TCT NGàY 11 THáNG 2 NăM 1993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19 - 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THI HÀNH QUYẾT ĐỊNH CỦA BỘ TRƯỞNG BỘ TÀI CHÍNH</w:t>
      </w:r>
    </w:p>
    <w:p>
      <w:pPr>
        <w:jc w:val="center"/>
      </w:pPr>
      <w:r>
        <w:rPr>
          <w:b/>
          <w:i w:val="0"/>
        </w:rPr>
        <w:t>SỐ 65 TC/TCT NGÀY 11 THÁNG 2 NĂM 1993</w:t>
      </w:r>
    </w:p>
    <w:p>
      <w:r>
        <w:rPr>
          <w:b w:val="0"/>
          <w:i w:val="0"/>
        </w:rPr>
        <w:t>Để thi hành Quyết định số 65 TC/TCT ngày 11/2/1993 về việc ban hành quy chế tạm thời về tổ chức đấu thầu và nộp Ngân sách Nhà nước đối với khai thác đá quý áp dụng thí điểm ở Nghệ an, Bộ Tài chính hướng dẫn thêm một số điểm như sau:</w:t>
      </w:r>
    </w:p>
    <w:p>
      <w:r>
        <w:rPr>
          <w:b w:val="0"/>
          <w:i w:val="0"/>
        </w:rPr>
        <w:t>1/ Đối tượng được tham dự đấu thầu khai thác đá quý quy định tại Điều 5 Bản quy chế tạm thời về tổ chức đấu thầu và nộp Ngân sách Nhà nước đối với khai thác đá quý áp dụng thí điểm ở Nghệ an (dưới đây gọi là bản quy chế đấu thầu) là mọi tổ chức và công dân có tư cách pháp nhân, có đủ điều kiện đấu thầu, bao gồm : các doanh nghiệp Nhà nước thành lập theo Nghị định số 388 /HĐBT ngày 20/11/1991 của Hội đồng Bộ trưởng (nay là Chính phủ), các doanh nghiệp tư nhân và công ty (công ty cổ phần, công ty trách nhiệm hữu hạn) được thành lập theo Luật doanh nghiệp tư nhân và Luật công ty. Riêng đối với các tổ chức và công dân nước ngoài thì phải được sự bảo đảm của Uỷ ban Nhà nước về hợp tác đầu tư: khi trúng thầu sẽ được cấp giấy phép đầu tư; hoặc phải có ý kiến của Uỷ ban Nhà nước về hợp tác đầu tư đối với đơn vị nước ngoài xin dự thầu.</w:t>
      </w:r>
    </w:p>
    <w:p>
      <w:r>
        <w:rPr>
          <w:b w:val="0"/>
          <w:i w:val="0"/>
        </w:rPr>
        <w:t>2/ Đề án khái quát về khai thác bảo vệ tài nguyên môi trường quy định tại khoản 2 Điều 10 bản quy chế đấu thầu được thực hiện theo sự hướng dẫn của Bộ Công nghiệp nặng.</w:t>
      </w:r>
    </w:p>
    <w:p>
      <w:r>
        <w:rPr>
          <w:b w:val="0"/>
          <w:i w:val="0"/>
        </w:rPr>
        <w:t>3/ Theo quy định tại khoản 4, Điều 11 bản quy chế đấu thầu, đơn vị dự thầu chỉ được khảo sát thực tế về vị trí, phạm vi, điều kiện địa lý tự nhiên ....trên bề mặt diện tích lô đất đấu thầu, nhưng không được tiến hành khoan đào để khảo sát địa chất và khai thác thử đối với vùng mỏ cũng như lô đất đấu thầu.</w:t>
      </w:r>
    </w:p>
    <w:p>
      <w:r>
        <w:rPr>
          <w:b w:val="0"/>
          <w:i w:val="0"/>
        </w:rPr>
        <w:t>4/ Đơn vị dự thầu phải nộp 0,1% lệ phí dự thầu và 0,5% khoản tiền ứng trước tính trên giá tối thiểu đưa ra đấu thầu do Chủ tịch Hội đồng xử lý quyết định trên cơ sở đề nghị của Ban định giá và tổ chức đấu thầu. Nộp 2% vào quỹ dự phòng bảo vệ môi trường môi sinh tính trên giá mua thầu do đơn vị trúng thầu trả về trị giá đá quý và các khoáng sản khác kèm theo (nếu có) đối với lô đất đấu thầu.</w:t>
      </w:r>
    </w:p>
    <w:p>
      <w:r>
        <w:rPr>
          <w:b w:val="0"/>
          <w:i w:val="0"/>
        </w:rPr>
        <w:t>Các đơn vị dự thầu phải tự chịu trách nhiệm về nguồn vốn để bảo đảm nộp đủ tiền lệ phí dự thầu, tiền ứng trước và quỹ dự phòng bảo vệ tài nguyên môi trường theo đúng quy định, kể cả trường hợp đơn vị phải đi vay và phải trả lãi tiền vay.</w:t>
      </w:r>
    </w:p>
    <w:p>
      <w:r>
        <w:rPr>
          <w:b w:val="0"/>
          <w:i w:val="0"/>
        </w:rPr>
        <w:t>5/ Theo quy định tại điểm c, khoản 1, Điều 18 quy chế đấu thầu, thì ban địng giá và tổ chức đấu thầu được xem xét điều chỉnh số tiền mua thầu chưa nộp Ngân sách khi giá cả thị trường biến động từ 20% trở lên căn cứ vào chỉ số biến đổi bình quân giá cả thị trường đá quý do NHNN Việt nam công bố từng thời kỳ. Mức điều chỉnh không vượt quá mức biến động (tăng hoặc giảm) của giá cả thị trường, nhưng cũng không thấp hơn 50% so với mức biến động của giá cả thị trường. Mức điều chỉnh cụ thể do Trưởng ban định giá và tổ chức đấu thầu đề nghị lên Chủ tịch Hội đồng xử lý quyết định.</w:t>
      </w:r>
    </w:p>
    <w:p>
      <w:r>
        <w:rPr>
          <w:b w:val="0"/>
          <w:i w:val="0"/>
        </w:rPr>
        <w:t>6/ Thông tư này có hiệu lực thi hành kể từ ngày ký.</w:t>
      </w:r>
    </w:p>
    <w:p>
      <w:r>
        <w:rPr>
          <w:b w:val="0"/>
          <w:i w:val="0"/>
        </w:rPr>
        <w:t>Các thành viên của Hội đồng xử lý, Ban định giá và tổ chức đấu thầu khai thác đá quý ở Nghệ an có trách nhiệm hướng dẫn và thực hiện đúng Quyết định 65 TC/TCT ngày 11/2/1993 và hướng dẫn tại Thông tư này. Trong quá trình thực hiện nếu có vướng mắc cần phản ánh kịp thời về Bộ Tài chính để nghiên cứu hướng dẫn thêm./.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Thủ tướng Chính phủ</w:t>
            </w:r>
            <w:r>
              <w:rPr>
                <w:b w:val="0"/>
                <w:i w:val="0"/>
              </w:rPr>
              <w:br/>
            </w:r>
            <w:r>
              <w:rPr>
                <w:b w:val="0"/>
                <w:i w:val="0"/>
              </w:rPr>
              <w:t>- VP Chính phủ Để b/c</w:t>
            </w:r>
            <w:r>
              <w:rPr>
                <w:b w:val="0"/>
                <w:i w:val="0"/>
              </w:rPr>
              <w:br/>
            </w:r>
            <w:r>
              <w:rPr>
                <w:b w:val="0"/>
                <w:i w:val="0"/>
              </w:rPr>
              <w:t>- Ban Bí thư TW</w:t>
            </w:r>
            <w:r>
              <w:rPr>
                <w:b w:val="0"/>
                <w:i w:val="0"/>
              </w:rPr>
              <w:br/>
            </w:r>
            <w:r>
              <w:rPr>
                <w:b w:val="0"/>
                <w:i w:val="0"/>
              </w:rPr>
              <w:t>- Ban KT TW</w:t>
            </w:r>
            <w:r>
              <w:rPr>
                <w:b w:val="0"/>
                <w:i w:val="0"/>
              </w:rPr>
              <w:br/>
            </w:r>
            <w:r>
              <w:rPr>
                <w:b w:val="0"/>
                <w:i w:val="0"/>
              </w:rPr>
              <w:t>- Các Bộ: Tài chính, CN nặng</w:t>
            </w:r>
            <w:r>
              <w:rPr>
                <w:b w:val="0"/>
                <w:i w:val="0"/>
              </w:rPr>
              <w:br/>
            </w:r>
            <w:r>
              <w:rPr>
                <w:b w:val="0"/>
                <w:i w:val="0"/>
              </w:rPr>
              <w:t>Khoa học CN và MT</w:t>
            </w:r>
            <w:r>
              <w:rPr>
                <w:b w:val="0"/>
                <w:i w:val="0"/>
              </w:rPr>
              <w:br/>
            </w:r>
            <w:r>
              <w:rPr>
                <w:b w:val="0"/>
                <w:i w:val="0"/>
              </w:rPr>
              <w:t>Nội vụ, Quốc phòng</w:t>
            </w:r>
            <w:r>
              <w:rPr>
                <w:b w:val="0"/>
                <w:i w:val="0"/>
              </w:rPr>
              <w:br/>
            </w:r>
            <w:r>
              <w:rPr>
                <w:b w:val="0"/>
                <w:i w:val="0"/>
              </w:rPr>
              <w:t>- Uỷ ban Kế hoạch Nhà nước</w:t>
            </w:r>
            <w:r>
              <w:rPr>
                <w:b w:val="0"/>
                <w:i w:val="0"/>
              </w:rPr>
              <w:br/>
            </w:r>
            <w:r>
              <w:rPr>
                <w:b w:val="0"/>
                <w:i w:val="0"/>
              </w:rPr>
              <w:t>- NHNN</w:t>
            </w:r>
            <w:r>
              <w:rPr>
                <w:b w:val="0"/>
                <w:i w:val="0"/>
              </w:rPr>
              <w:br/>
            </w:r>
            <w:r>
              <w:rPr>
                <w:b w:val="0"/>
                <w:i w:val="0"/>
              </w:rPr>
              <w:t>- Trọng tài KT TW</w:t>
            </w:r>
            <w:r>
              <w:rPr>
                <w:b w:val="0"/>
                <w:i w:val="0"/>
              </w:rPr>
              <w:br/>
            </w:r>
            <w:r>
              <w:rPr>
                <w:b w:val="0"/>
                <w:i w:val="0"/>
              </w:rPr>
              <w:t>- TC QLRĐ</w:t>
            </w:r>
            <w:r>
              <w:rPr>
                <w:b w:val="0"/>
                <w:i w:val="0"/>
              </w:rPr>
              <w:br/>
            </w:r>
            <w:r>
              <w:rPr>
                <w:b w:val="0"/>
                <w:i w:val="0"/>
              </w:rPr>
              <w:t>- Viện khoa học VN</w:t>
            </w:r>
            <w:r>
              <w:rPr>
                <w:b w:val="0"/>
                <w:i w:val="0"/>
              </w:rPr>
              <w:br/>
            </w:r>
            <w:r>
              <w:rPr>
                <w:b w:val="0"/>
                <w:i w:val="0"/>
              </w:rPr>
              <w:t>- UBND Tỉnh NA</w:t>
            </w:r>
            <w:r>
              <w:rPr>
                <w:b w:val="0"/>
                <w:i w:val="0"/>
              </w:rPr>
              <w:br/>
            </w:r>
            <w:r>
              <w:rPr>
                <w:b w:val="0"/>
                <w:i w:val="0"/>
              </w:rPr>
              <w:t>- UBND huyện Quỳ châu, Quỳ hợp</w:t>
            </w:r>
            <w:r>
              <w:rPr>
                <w:b w:val="0"/>
                <w:i w:val="0"/>
              </w:rPr>
              <w:br/>
            </w:r>
            <w:r>
              <w:rPr>
                <w:b w:val="0"/>
                <w:i w:val="0"/>
              </w:rPr>
              <w:t>- Thành viên HĐXL và Ban định giá</w:t>
            </w:r>
            <w:r>
              <w:rPr>
                <w:b w:val="0"/>
                <w:i w:val="0"/>
              </w:rPr>
              <w:br/>
            </w:r>
            <w:r>
              <w:rPr>
                <w:b w:val="0"/>
                <w:i w:val="0"/>
              </w:rPr>
              <w:t>- Lưu (VP, TCT, CN)</w:t>
            </w:r>
          </w:p>
        </w:tc>
        <w:tc>
          <w:tcPr>
            <w:tcW w:type="dxa" w:w="4320"/>
          </w:tcPr>
          <w:p>
            <w:r>
              <w:rPr>
                <w:b w:val="0"/>
                <w:i w:val="0"/>
              </w:rPr>
              <w:br/>
            </w:r>
            <w:r>
              <w:rPr>
                <w:b w:val="0"/>
                <w:i w:val="0"/>
              </w:rPr>
              <w:t>KT/ BỘ TRƯỞNG BỘ TÀI CHÍNH</w:t>
            </w:r>
            <w:r>
              <w:rPr>
                <w:b w:val="0"/>
                <w:i w:val="0"/>
              </w:rPr>
              <w:br/>
            </w:r>
            <w:r>
              <w:rPr>
                <w:b w:val="0"/>
                <w:i w:val="0"/>
              </w:rPr>
              <w:t>CHỦ TỊCH HỘI ĐỒNG XỬ LÝ</w:t>
            </w:r>
            <w:r>
              <w:br/>
            </w:r>
            <w:r>
              <w:rPr>
                <w:b w:val="0"/>
                <w:i w:val="0"/>
              </w:rPr>
              <w:br/>
              <w:t xml:space="preserve">        THỨ TRƯỞNG</w:t>
            </w:r>
            <w:r>
              <w:rPr>
                <w:b w:val="0"/>
                <w:i w:val="0"/>
              </w:rPr>
              <w:br/>
            </w:r>
            <w:r>
              <w:br/>
            </w:r>
            <w:r>
              <w:rPr>
                <w:b/>
                <w:i/>
              </w:rPr>
              <w:t>Phan Văn Dĩnh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