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 TC/QÐ/TVQT Về việc giao nhiệm vụ đầu tư xây dựng trụ sở làm việc của Công ty tái bảo hiểm quốc gia Việt Nam</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19 TC/QĐ/TVQT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6 tháng 1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GIAO NHIỆM VỤ ĐẦU TƯ XÂY DỰNG TRỤ SỞ LÀM VIỆC</w:t>
      </w:r>
      <w:r>
        <w:rPr>
          <w:b w:val="0"/>
          <w:i w:val="0"/>
        </w:rPr>
        <w:br/>
      </w:r>
      <w:r>
        <w:rPr>
          <w:b w:val="0"/>
          <w:i w:val="0"/>
        </w:rPr>
        <w:t>CỦA CÔNG TY TÁI BẢO HIỂM QUỐC GIA VIỆT NAM</w:t>
      </w:r>
      <w:r>
        <w:rPr>
          <w:b w:val="0"/>
          <w:i w:val="0"/>
        </w:rPr>
        <w:br/>
      </w:r>
      <w:r>
        <w:rPr>
          <w:b/>
          <w:i w:val="0"/>
        </w:rPr>
        <w:t xml:space="preserve"> </w:t>
      </w:r>
      <w:r>
        <w:rPr>
          <w:b w:val="0"/>
          <w:i w:val="0"/>
        </w:rPr>
        <w:br/>
      </w:r>
      <w:r>
        <w:rPr>
          <w:b/>
          <w:i w:val="0"/>
        </w:rPr>
        <w:t xml:space="preserve"> BỘ TRƯỞNG BỘ TÀI CHÍNH</w:t>
      </w:r>
      <w:r>
        <w:rPr>
          <w:b w:val="0"/>
          <w:i w:val="0"/>
        </w:rPr>
        <w:br/>
      </w:r>
      <w:r>
        <w:rPr>
          <w:b/>
          <w:i w:val="0"/>
        </w:rPr>
        <w:t xml:space="preserve"> </w:t>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177/CP ngày 20/10/1994 của Chính phủ ban hành điều lệ quản lý xây dựng cơ bản;</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Theo đề nghị của Vụ trưởng Vụ Tài vụ quản trị, Giám đốc Công ty tái bảo hiểm quốc gia Việt Nam,</w:t>
      </w:r>
      <w:r>
        <w:rPr>
          <w:b w:val="0"/>
          <w:i w:val="0"/>
        </w:rPr>
        <w:br/>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rPr>
        <w:t xml:space="preserve"> </w:t>
      </w:r>
      <w:r>
        <w:rPr>
          <w:b w:val="0"/>
          <w:i w:val="0"/>
        </w:rPr>
        <w:t>Cho phép Công ty Tái bảo hiểm quốc gia Việt Nam (VINARE) xây dựng trụ sở làm việc của Công ty theo hình thức liên doanh với Công ty xây lắp 789 Bộ Quốc Phòng.</w:t>
      </w:r>
      <w:r>
        <w:rPr>
          <w:b w:val="0"/>
          <w:i w:val="0"/>
        </w:rPr>
        <w:br/>
      </w:r>
      <w:r>
        <w:rPr>
          <w:b/>
          <w:i/>
        </w:rPr>
        <w:t xml:space="preserve">Điều 2: </w:t>
      </w:r>
      <w:r>
        <w:rPr>
          <w:b w:val="0"/>
          <w:i w:val="0"/>
        </w:rPr>
        <w:t>Tổng số vốn đầu tư xây dựng trụ sở làm việc của Công ty Tái bảo hiểm quốc gia Việt Nam dự kiến là: 15.000.000.000 đ (mười lăm tỷ đồng chẵn)</w:t>
      </w:r>
      <w:r>
        <w:rPr>
          <w:b w:val="0"/>
          <w:i w:val="0"/>
        </w:rPr>
        <w:br/>
      </w:r>
      <w:r>
        <w:rPr>
          <w:b w:val="0"/>
          <w:i w:val="0"/>
        </w:rPr>
        <w:t>Trong đó:</w:t>
      </w:r>
      <w:r>
        <w:rPr>
          <w:b w:val="0"/>
          <w:i w:val="0"/>
        </w:rPr>
        <w:br/>
      </w:r>
      <w:r>
        <w:rPr>
          <w:b w:val="0"/>
          <w:i w:val="0"/>
        </w:rPr>
        <w:t>-Từ nguồn vốn điều lệ của VINARE : 7.000.000.000 đ.</w:t>
      </w:r>
      <w:r>
        <w:rPr>
          <w:b w:val="0"/>
          <w:i w:val="0"/>
        </w:rPr>
        <w:br/>
      </w:r>
      <w:r>
        <w:rPr>
          <w:b w:val="0"/>
          <w:i w:val="0"/>
        </w:rPr>
        <w:t>- Vốn vay Ngân hàng và vốn huy động hợp pháp từ các tổ chức kinh tế : 8.000.000.000 đ</w:t>
      </w:r>
      <w:r>
        <w:rPr>
          <w:b w:val="0"/>
          <w:i w:val="0"/>
        </w:rPr>
        <w:br/>
      </w:r>
      <w:r>
        <w:rPr>
          <w:b/>
          <w:i/>
        </w:rPr>
        <w:t>Điều 3:</w:t>
      </w:r>
      <w:r>
        <w:rPr>
          <w:b w:val="0"/>
          <w:i w:val="0"/>
        </w:rPr>
        <w:t xml:space="preserve"> Dự án liên doanh giữa Công ty Tái bảo hiểm quốc gia Việt Nam với Công ty xây lắp 789 Bộ Quốc phòng phải đảm bảo đúng luật pháp quy định, xác định quyền sở hữu tài sản của các bên tham gia liên doanh, phải trình Bộ trưởng Bộ Tài chính duyệt trước khi triển khai.</w:t>
      </w:r>
      <w:r>
        <w:rPr>
          <w:b w:val="0"/>
          <w:i w:val="0"/>
        </w:rPr>
        <w:br/>
      </w:r>
      <w:r>
        <w:rPr>
          <w:b/>
          <w:i/>
        </w:rPr>
        <w:t>Điều 4:</w:t>
      </w:r>
      <w:r>
        <w:rPr>
          <w:b w:val="0"/>
          <w:i w:val="0"/>
        </w:rPr>
        <w:t xml:space="preserve"> Quyết định này có hiệu lực từ ngày ký. Các đồng chí Vụ trưởng Vụ Tài vụ quản trị, Chánh Văn phòng Bộ và Giám đốc Công ty Tái bảo hiểm quốc gia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Công ty VINARE.</w:t>
      </w:r>
      <w:r>
        <w:rPr>
          <w:b w:val="0"/>
          <w:i w:val="0"/>
        </w:rPr>
        <w:br/>
      </w:r>
      <w:r>
        <w:rPr>
          <w:b w:val="0"/>
          <w:i w:val="0"/>
        </w:rPr>
        <w:t>- Văn phòng Bộ.</w:t>
      </w:r>
      <w:r>
        <w:rPr>
          <w:b w:val="0"/>
          <w:i w:val="0"/>
        </w:rPr>
        <w:br/>
      </w:r>
      <w:r>
        <w:rPr>
          <w:b w:val="0"/>
          <w:i w:val="0"/>
        </w:rPr>
        <w:t>- Lưu: VP, TVQT</w:t>
      </w:r>
      <w:r>
        <w:rPr>
          <w:b w:val="0"/>
          <w:i w:val="0"/>
        </w:rPr>
        <w:br/>
      </w:r>
      <w:r>
        <w:rPr>
          <w:b w:val="0"/>
          <w:i w:val="0"/>
        </w:rPr>
        <w:br/>
      </w:r>
      <w:r>
        <w:rPr>
          <w:b w:val="0"/>
          <w:i w:val="0"/>
        </w:rPr>
        <w:br/>
      </w:r>
      <w:r>
        <w:rPr>
          <w:b/>
          <w:i w:val="0"/>
        </w:rPr>
        <w:t>KT.BỘ TRƯỞNG BỘ TÀI CHÍNH</w:t>
      </w:r>
      <w:r>
        <w:rPr>
          <w:b w:val="0"/>
          <w:i w:val="0"/>
        </w:rPr>
        <w:br/>
      </w:r>
      <w:r>
        <w:rPr>
          <w:b/>
          <w:i w:val="0"/>
        </w:rPr>
        <w:t>THỨ TRƯỞNG</w:t>
      </w:r>
      <w:r>
        <w:rPr>
          <w:b w:val="0"/>
          <w:i w:val="0"/>
        </w:rPr>
        <w:br/>
      </w:r>
      <w:r>
        <w:rPr>
          <w:b/>
          <w:i w:val="0"/>
        </w:rPr>
        <w:t xml:space="preserve">  </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19 TC/QĐ/TVQT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Công ty VINARE.</w:t>
            </w:r>
            <w:r>
              <w:rPr>
                <w:b w:val="0"/>
                <w:i w:val="0"/>
              </w:rPr>
              <w:br/>
            </w:r>
            <w:r>
              <w:rPr>
                <w:b w:val="0"/>
                <w:i w:val="0"/>
              </w:rPr>
              <w:t>- Văn phòng Bộ.</w:t>
            </w:r>
            <w:r>
              <w:rPr>
                <w:b w:val="0"/>
                <w:i w:val="0"/>
              </w:rPr>
              <w:br/>
            </w:r>
            <w:r>
              <w:rPr>
                <w:b w:val="0"/>
                <w:i w:val="0"/>
              </w:rPr>
              <w:t>- Lưu: VP, TVQT</w:t>
            </w:r>
            <w:r>
              <w:rPr>
                <w:b w:val="0"/>
                <w:i w:val="0"/>
              </w:rPr>
              <w:br/>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val="0"/>
              </w:rPr>
              <w:t xml:space="preserve">  </w:t>
            </w:r>
            <w:r>
              <w:rPr>
                <w:b w:val="0"/>
                <w:i w:val="0"/>
              </w:rPr>
              <w:br/>
            </w:r>
            <w:r>
              <w:rPr>
                <w:b w:val="0"/>
                <w:i w:val="0"/>
              </w:rPr>
              <w:br/>
            </w:r>
            <w:r>
              <w:rPr>
                <w:b/>
                <w:i/>
              </w:rPr>
              <w:t>VŨ MỘNG GIAO</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