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1927/QĐ-UBND năm 2012 duyệt đồ án quy hoạch chi tiết xây dựng tỷ lệ 1/2000 khu đô thị Đại học Quốc tế Việt Nam (VIUT), xã Tân Thới Nhì, huyện Hóc Môn thuộc khu đô thị Tây Bắc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i w:val="0"/>
        </w:rPr>
        <w:t>QUYẾT ĐỊNH</w:t>
      </w:r>
    </w:p>
    <w:p>
      <w:pPr>
        <w:jc w:val="center"/>
      </w:pPr>
      <w:r>
        <w:rPr>
          <w:b w:val="0"/>
          <w:i w:val="0"/>
        </w:rPr>
        <w:t>VỀ DUYỆT ĐỒ ÁN QUY HOẠCH CHI TIẾT XÂY DỰNG TỶ LỆ 1/2000 KHU ĐÔ THỊ ĐẠI HỌC QUỐC TẾ VIỆT NAM (VIUT), XÃ TÂN THỚI NHÌ, HUYỆN HÓC MÔN THUỘC KHU ĐÔ THỊ TÂY BẮC THÀNH PHỐ</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số 30/2009/QH12 của Quốc hội ngày 17 tháng 6 năm 2009;</w:t>
      </w:r>
    </w:p>
    <w:p>
      <w:r>
        <w:rPr>
          <w:b w:val="0"/>
          <w:i/>
        </w:rPr>
        <w:t>Căn cứ Nghị định số 02/2006/NĐ-CP ngày 05 tháng 01 năm 2006 của Chính phủ về việc ban hành quy chế khu đô thị mới;</w:t>
      </w:r>
    </w:p>
    <w:p>
      <w:r>
        <w:rPr>
          <w:b w:val="0"/>
          <w:i/>
        </w:rPr>
        <w:t>Căn cứ Nghị định số 37/2010/NĐ-CP ngày 07 tháng 4 năm 2010 của Chính phủ về lập, thẩm định, phê duyệt và quản lý quy hoạch đô thị;</w:t>
      </w:r>
    </w:p>
    <w:p>
      <w:r>
        <w:rPr>
          <w:b w:val="0"/>
          <w:i/>
        </w:rPr>
        <w:t>Căn cứ Quyết định số 04/2008/QĐ-BXD ngày 03 tháng 4 năm 2008 của Bộ Xây dựng về việc ban hành “Quy chuẩn kỹ thuật Quốc gia về Quy hoạch xây dựng”;</w:t>
      </w:r>
    </w:p>
    <w:p>
      <w:r>
        <w:rPr>
          <w:b w:val="0"/>
          <w:i/>
        </w:rPr>
        <w:t>Căn cứ Quyết định số 50/2011/QĐ-UBND ngày 12 tháng 7 năm 2011 của Ủy ban nhân dân Thành phố Hồ Chí Minh về việc lập, thẩm định và phê duyệt quy hoạch đô thị trên địa bàn Thành phố Hồ Chí Minh;</w:t>
      </w:r>
    </w:p>
    <w:p>
      <w:r>
        <w:rPr>
          <w:b w:val="0"/>
          <w:i/>
        </w:rPr>
        <w:t>Căn cứ Quyết định số 3680/QĐ-UBND ngày 21 tháng 8 năm 2010 của Ủy ban nhân dân Thành phố phê duyệt đồ án điều chỉnh quy hoạch chung huyện Hóc Môn;</w:t>
      </w:r>
    </w:p>
    <w:p>
      <w:r>
        <w:rPr>
          <w:b w:val="0"/>
          <w:i/>
        </w:rPr>
        <w:t xml:space="preserve">Căn cứ Quyết định số 4919/QĐ-UBND ngày 29 tháng 10 năm 2009 của Ủy ban nhân dân Thành phố về duyệt Đồ án quy hoạch chung Khu đô thị Tây Bắc Thành phố </w:t>
      </w:r>
      <w:r>
        <w:br/>
      </w:r>
      <w:r>
        <w:rPr>
          <w:b w:val="0"/>
          <w:i/>
        </w:rPr>
        <w:t>Hồ Chí Minh;</w:t>
      </w:r>
    </w:p>
    <w:p>
      <w:r>
        <w:rPr>
          <w:b w:val="0"/>
          <w:i/>
        </w:rPr>
        <w:t>Căn cứ Quyết định số 5349/QĐ-UBND ngày 24 tháng 11 năm 2009 của Ủy ban nhân dân Thành phố về duyệt nhiệm vụ quy hoạch chi tiết xây dựng đô thị tỷ lệ 1/2000 Khu đô thị đại học Quốc tế Việt Nam, xã Tân Thới Nhì, huyện Hóc Môn.</w:t>
      </w:r>
    </w:p>
    <w:p>
      <w:r>
        <w:rPr>
          <w:b w:val="0"/>
          <w:i/>
        </w:rPr>
        <w:t>Xét đề nghị của Sở Quy hoạch - Kiến trúc tại Tờ trình số 2290/TTr-SQHKT ngày 05 tháng 8 năm 2011 về phê duyệt đồ án quy hoạch chi tiết xây dựng đô thị tỷ lệ 1/2000 Khu đô thị đại học Quốc tế Việt Nam (VIUT), xã Tân Thới Nhì, huyện Hóc Môn thuộc Khu đô thị Tây Bắc thành phố và Công văn số 3828/SQHKT-QHC ngày 16 tháng 12 năm 2011 về giải trình các chỉ tiêu đồ án quy hoạch chi tiết xây dựng tỷ lệ 1/2000 Khu đô thị đại học Quốc tế Việt Nam (VIUT), xã Tân Thới Nhì, huyện Hóc Môn,</w:t>
      </w:r>
    </w:p>
    <w:p>
      <w:pPr>
        <w:jc w:val="center"/>
      </w:pPr>
      <w:r>
        <w:rPr>
          <w:b/>
          <w:i w:val="0"/>
        </w:rPr>
        <w:t>QUYẾT ĐỊNH:</w:t>
      </w:r>
    </w:p>
    <w:p>
      <w:r>
        <w:rPr>
          <w:b/>
          <w:i w:val="0"/>
        </w:rPr>
        <w:t>Điều 1.</w:t>
      </w:r>
      <w:r>
        <w:rPr>
          <w:b/>
          <w:i w:val="0"/>
        </w:rPr>
        <w:t xml:space="preserve"> </w:t>
      </w:r>
      <w:r>
        <w:rPr>
          <w:b w:val="0"/>
          <w:i w:val="0"/>
        </w:rPr>
        <w:t>Duyệt quy hoạch chi tiết xây dựng đô thị tỷ lệ 1/2000 quy hoạch chi tiết xây dựng đô thị tỷ lệ 1/2000 Khu đô thị đại học Quốc tế Việt Nam, xã Tân Thới Nhì, huyện Hóc Môn với các nội dung chính như sau (đính kèm hồ sơ quy hoạch chi tiết xây dựng tỷ lệ 1/2000).</w:t>
      </w:r>
    </w:p>
    <w:p>
      <w:r>
        <w:rPr>
          <w:b/>
          <w:i w:val="0"/>
        </w:rPr>
        <w:t>1. Vị trí, quy mô và giới hạn phạm vi quy hoạch:</w:t>
      </w:r>
    </w:p>
    <w:p>
      <w:r>
        <w:rPr>
          <w:b w:val="0"/>
          <w:i w:val="0"/>
        </w:rPr>
        <w:t xml:space="preserve">- Quy mô khu vực quy hoạch: </w:t>
      </w:r>
      <w:r>
        <w:rPr>
          <w:b/>
          <w:i w:val="0"/>
        </w:rPr>
        <w:t>923,88</w:t>
      </w:r>
      <w:r>
        <w:rPr>
          <w:b w:val="0"/>
          <w:i w:val="0"/>
        </w:rPr>
        <w:t xml:space="preserve"> ha thuộc một phần xã Tân Thới Nhì, huyện Hóc Môn, nằm trong ranh Khu đô thị Tây Bắc Thành phố (ranh giới được xác định theo Bản đồ hiện trạng phục vụ công tác bồi thường giải phóng mặt bằng tỷ lệ 1/5000 do Trung tâm đo đạc bản đồ - Sở Tài nguyên và Môi trường Thành phố Hồ Chí Minh lập ngày 13 tháng 3 năm 2009).</w:t>
      </w:r>
    </w:p>
    <w:p>
      <w:r>
        <w:rPr>
          <w:b w:val="0"/>
          <w:i w:val="0"/>
        </w:rPr>
        <w:t>- Vị trí và giới hạn phạm vi quy hoạch:</w:t>
      </w:r>
    </w:p>
    <w:p>
      <w:r>
        <w:rPr>
          <w:b w:val="0"/>
          <w:i w:val="0"/>
        </w:rPr>
        <w:t>+ Phía Đông Nam giáp kênh An Hạ.</w:t>
      </w:r>
    </w:p>
    <w:p>
      <w:r>
        <w:rPr>
          <w:b w:val="0"/>
          <w:i w:val="0"/>
        </w:rPr>
        <w:t>+ Phía Tây, Tây Nam giáp tỉnh Long An, xã Tân Thới Nhì, huyện Hóc Môn.</w:t>
      </w:r>
    </w:p>
    <w:p>
      <w:r>
        <w:rPr>
          <w:b w:val="0"/>
          <w:i w:val="0"/>
        </w:rPr>
        <w:t>+ Phía Bắc giáp kênh Thầy Cai.</w:t>
      </w:r>
    </w:p>
    <w:p>
      <w:r>
        <w:rPr>
          <w:b/>
          <w:i w:val="0"/>
        </w:rPr>
        <w:t>2. Mục tiêu của đồ án:</w:t>
      </w:r>
    </w:p>
    <w:p>
      <w:r>
        <w:rPr>
          <w:b w:val="0"/>
          <w:i w:val="0"/>
        </w:rPr>
        <w:t>- Tạo động lực góp phần đẩy nhanh tiến độ hình thành và phát triển Khu đô thị Tây Bắc Thành phố. Hình thành một không gian đô thị hoàn chỉnh, đồng bộ, hiện đại với các chức năng đáp ứng được các yêu cầu bao gồm:</w:t>
      </w:r>
    </w:p>
    <w:p>
      <w:r>
        <w:rPr>
          <w:b w:val="0"/>
          <w:i w:val="0"/>
        </w:rPr>
        <w:t>+ Tạo môi trường làm việc tốt nhất.</w:t>
      </w:r>
    </w:p>
    <w:p>
      <w:r>
        <w:rPr>
          <w:b w:val="0"/>
          <w:i w:val="0"/>
        </w:rPr>
        <w:t>+ Tạo môi trường học tập đạt các chuẩn mực quốc tế.</w:t>
      </w:r>
    </w:p>
    <w:p>
      <w:r>
        <w:rPr>
          <w:b w:val="0"/>
          <w:i w:val="0"/>
        </w:rPr>
        <w:t>+ Tạo môi trường sống tốt nhất.</w:t>
      </w:r>
    </w:p>
    <w:p>
      <w:r>
        <w:rPr>
          <w:b w:val="0"/>
          <w:i w:val="0"/>
        </w:rPr>
        <w:t>+ Cung cấp đầy đủ các cơ sở tiện ích vui chơi giải trí, . . .</w:t>
      </w:r>
    </w:p>
    <w:p>
      <w:r>
        <w:rPr>
          <w:b w:val="0"/>
          <w:i w:val="0"/>
        </w:rPr>
        <w:t>- Đảm bảo cơ cấu sử dụng đất đai và tổ chức hệ thống hạ tầng xã hội, hạ tầng kỹ thuật đô thị phù hợp với quy hoạch chung xây dựng Khu đô thị Tây Bắc Thành phố.</w:t>
      </w:r>
    </w:p>
    <w:p>
      <w:r>
        <w:rPr>
          <w:b w:val="0"/>
          <w:i w:val="0"/>
        </w:rPr>
        <w:t>- Tôn trọng điều kiện tự nhiên, đặc biệt là hệ thống kênh rạch, cảnh quan, môi trường đặc thù của khu vực để có giải pháp thiết kế quy hoạch phát triển hợp lý.</w:t>
      </w:r>
    </w:p>
    <w:p>
      <w:r>
        <w:rPr>
          <w:b w:val="0"/>
          <w:i w:val="0"/>
        </w:rPr>
        <w:t>- Tạo nhiều mảng xanh, không gian mở để cải thiện môi trường (lưu ý khu vực tiếp giáp với Khu Công nghiệp Tân Phú Trung và cụm công nghiệp Nhị Xuân).</w:t>
      </w:r>
    </w:p>
    <w:p>
      <w:r>
        <w:rPr>
          <w:b w:val="0"/>
          <w:i w:val="0"/>
        </w:rPr>
        <w:t>- Giải quyết hài hòa các mối quan hệ đặc biệt là vấn đề kết nối hạ tầng chính với các khu chức năng còn lại trong Khu đô thị Tây Bắc Thành phố, các khu vực khác thuộc huyện Hóc Môn và tỉnh Long An.</w:t>
      </w:r>
    </w:p>
    <w:p>
      <w:r>
        <w:rPr>
          <w:b/>
          <w:i w:val="0"/>
        </w:rPr>
        <w:t>3. Tính chất và chức năng quy hoạch:</w:t>
      </w:r>
    </w:p>
    <w:p>
      <w:r>
        <w:rPr>
          <w:b w:val="0"/>
          <w:i w:val="0"/>
        </w:rPr>
        <w:t>- Tính chất là Khu đô thị đại học quốc tế trong Khu đô thị Tây Bắc thành phố Hồ Chí Minh.</w:t>
      </w:r>
    </w:p>
    <w:p>
      <w:r>
        <w:rPr>
          <w:b w:val="0"/>
          <w:i w:val="0"/>
        </w:rPr>
        <w:t>- Các chức năng chính bao gồm:</w:t>
      </w:r>
    </w:p>
    <w:p>
      <w:r>
        <w:rPr>
          <w:b w:val="0"/>
          <w:i w:val="0"/>
        </w:rPr>
        <w:t>+ Khu giáo dục (bao gồm tiểu học, trung học, dạy nghề bậc cao, đại học,…);</w:t>
      </w:r>
    </w:p>
    <w:p>
      <w:r>
        <w:rPr>
          <w:b w:val="0"/>
          <w:i w:val="0"/>
        </w:rPr>
        <w:t>Khu giáo dục phục vụ di dời các trường, viện - trường, các Trung tâm đào tạo trung học chuyên nghiệp, đại học của thành phố.</w:t>
      </w:r>
    </w:p>
    <w:p>
      <w:r>
        <w:rPr>
          <w:b w:val="0"/>
          <w:i w:val="0"/>
        </w:rPr>
        <w:t>+ Khu dân cư, tái định cư;</w:t>
      </w:r>
    </w:p>
    <w:p>
      <w:r>
        <w:rPr>
          <w:b w:val="0"/>
          <w:i w:val="0"/>
        </w:rPr>
        <w:t>+ Khu thương mại, dịch vụ;</w:t>
      </w:r>
    </w:p>
    <w:p>
      <w:r>
        <w:rPr>
          <w:b w:val="0"/>
          <w:i w:val="0"/>
        </w:rPr>
        <w:t>+ Khu giải trí, y tế, thể thao;</w:t>
      </w:r>
    </w:p>
    <w:p>
      <w:r>
        <w:rPr>
          <w:b w:val="0"/>
          <w:i w:val="0"/>
        </w:rPr>
        <w:t>+ Khu công viên;</w:t>
      </w:r>
    </w:p>
    <w:p>
      <w:r>
        <w:rPr>
          <w:b w:val="0"/>
          <w:i w:val="0"/>
        </w:rPr>
        <w:t>+ Công viên công nghệ thông tin.</w:t>
      </w:r>
    </w:p>
    <w:p>
      <w:r>
        <w:rPr>
          <w:b/>
          <w:i w:val="0"/>
        </w:rPr>
        <w:t>4. Cơ cấu sử dụng đất và các chỉ tiêu quy hoạch - kiến trúc:</w:t>
      </w:r>
    </w:p>
    <w:p>
      <w:r>
        <w:rPr>
          <w:b w:val="0"/>
          <w:i w:val="0"/>
        </w:rPr>
        <w:t>4.1. Cơ cấu sử dụng đất:</w:t>
      </w:r>
    </w:p>
    <w:p>
      <w:r>
        <w:rPr>
          <w:b/>
          <w:i w:val="0"/>
        </w:rPr>
        <w:t>Cơ cấu sử dụng đất toàn khu đô thị đại học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 xml:space="preserve">Diện tích </w:t>
            </w:r>
            <w:r>
              <w:rPr>
                <w:b/>
                <w:i w:val="0"/>
              </w:rPr>
              <w:t>(ha)</w:t>
            </w:r>
          </w:p>
        </w:tc>
        <w:tc>
          <w:tcPr>
            <w:tcW w:type="dxa" w:w="2160"/>
          </w:tcPr>
          <w:p>
            <w:r>
              <w:rPr>
                <w:b w:val="0"/>
                <w:i w:val="0"/>
              </w:rPr>
              <w:br/>
            </w:r>
            <w:r>
              <w:rPr>
                <w:b/>
                <w:i w:val="0"/>
              </w:rPr>
              <w:t xml:space="preserve">Tỷ lệ </w:t>
            </w:r>
            <w:r>
              <w:rPr>
                <w:b/>
                <w:i w:val="0"/>
              </w:rPr>
              <w:t>(%)</w:t>
            </w:r>
          </w:p>
        </w:tc>
      </w:tr>
    </w:tbl>
    <w:p>
      <w:r>
        <w:rPr>
          <w:b w:val="0"/>
          <w:i w:val="0"/>
        </w:rPr>
        <w:t>4.2.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i w:val="0"/>
        </w:rPr>
        <w:t>5. Bố cục phân khu chức năng:</w:t>
      </w:r>
    </w:p>
    <w:p>
      <w:r>
        <w:rPr>
          <w:b/>
          <w:i/>
        </w:rPr>
        <w:t>5.1. Khu giáo dục đào tạo: ký hiệu A</w:t>
      </w:r>
    </w:p>
    <w:p>
      <w:r>
        <w:rPr>
          <w:b w:val="0"/>
          <w:i w:val="0"/>
        </w:rPr>
        <w:t>Khu giáo dục đào tạo bố trí ở phía Đông của Khu đô thị đại học, gồm khu đại học là khu học tập của các trường đại học, cao đẳng, dạy nghề, viện, trung tâm nghiên cứu, khai thác ứng dụng và các công trình dịch vụ phục vụ chung như trung tâm y khoa, trung tâm thể thao, sân vận động, ký túc xá.</w:t>
      </w:r>
    </w:p>
    <w:p>
      <w:r>
        <w:rPr>
          <w:b/>
          <w:i w:val="0"/>
        </w:rPr>
        <w:t xml:space="preserve">Cơ cấu quỹ đất xây dựng khu </w:t>
      </w:r>
      <w:r>
        <w:rPr>
          <w:b/>
          <w:i w:val="0"/>
        </w:rPr>
        <w:t xml:space="preserve">giáo dục đào tạo </w:t>
      </w:r>
      <w:r>
        <w:rPr>
          <w:b/>
          <w:i w:val="0"/>
        </w:rPr>
        <w:t>(ký hiệu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 xml:space="preserve">Các chỉ tiêu quy hoạch - kiến trúc Khu </w:t>
      </w:r>
      <w:r>
        <w:rPr>
          <w:b/>
          <w:i w:val="0"/>
        </w:rPr>
        <w:t xml:space="preserve">giáo dục đào tạo </w:t>
      </w:r>
      <w:r>
        <w:rPr>
          <w:b/>
          <w:i w:val="0"/>
        </w:rPr>
        <w:t>(ký hiệu 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Lô A</w:t>
            </w:r>
          </w:p>
        </w:tc>
        <w:tc>
          <w:tcPr>
            <w:tcW w:type="dxa" w:w="1440"/>
          </w:tcPr>
          <w:p>
            <w:r>
              <w:rPr>
                <w:b w:val="0"/>
                <w:i w:val="0"/>
              </w:rPr>
              <w:br/>
            </w:r>
            <w:r>
              <w:rPr>
                <w:b/>
                <w:i w:val="0"/>
              </w:rPr>
              <w:t>Tên lô</w:t>
            </w:r>
          </w:p>
        </w:tc>
        <w:tc>
          <w:tcPr>
            <w:tcW w:type="dxa" w:w="1440"/>
          </w:tcPr>
          <w:p>
            <w:r>
              <w:rPr>
                <w:b w:val="0"/>
                <w:i w:val="0"/>
              </w:rPr>
              <w:br/>
            </w:r>
            <w:r>
              <w:rPr>
                <w:b/>
                <w:i w:val="0"/>
              </w:rPr>
              <w:t>Diện tích</w:t>
            </w:r>
            <w:r>
              <w:rPr>
                <w:b w:val="0"/>
                <w:i w:val="0"/>
              </w:rPr>
              <w:br/>
            </w:r>
            <w:r>
              <w:rPr>
                <w:b/>
                <w:i w:val="0"/>
              </w:rPr>
              <w:t>(ha/lô)</w:t>
            </w:r>
          </w:p>
        </w:tc>
        <w:tc>
          <w:tcPr>
            <w:tcW w:type="dxa" w:w="1440"/>
          </w:tcPr>
          <w:p>
            <w:r>
              <w:rPr>
                <w:b w:val="0"/>
                <w:i w:val="0"/>
              </w:rPr>
              <w:br/>
            </w:r>
            <w:r>
              <w:rPr>
                <w:b/>
                <w:i w:val="0"/>
              </w:rPr>
              <w:t>Mật độ xây dựng</w:t>
            </w:r>
            <w:r>
              <w:rPr>
                <w:b w:val="0"/>
                <w:i w:val="0"/>
              </w:rPr>
              <w:br/>
            </w:r>
            <w:r>
              <w:rPr>
                <w:b/>
                <w:i w:val="0"/>
              </w:rPr>
              <w:t>(%)</w:t>
            </w:r>
          </w:p>
        </w:tc>
        <w:tc>
          <w:tcPr>
            <w:tcW w:type="dxa" w:w="1440"/>
          </w:tcPr>
          <w:p>
            <w:r>
              <w:rPr>
                <w:b w:val="0"/>
                <w:i w:val="0"/>
              </w:rPr>
              <w:br/>
            </w:r>
            <w:r>
              <w:rPr>
                <w:b/>
                <w:i w:val="0"/>
              </w:rPr>
              <w:t>Tầng cao xây dựng</w:t>
            </w:r>
            <w:r>
              <w:rPr>
                <w:b w:val="0"/>
                <w:i w:val="0"/>
              </w:rPr>
              <w:br/>
            </w:r>
            <w:r>
              <w:rPr>
                <w:b/>
                <w:i w:val="0"/>
              </w:rPr>
              <w:t>(tầng)</w:t>
            </w:r>
          </w:p>
        </w:tc>
        <w:tc>
          <w:tcPr>
            <w:tcW w:type="dxa" w:w="1440"/>
          </w:tcPr>
          <w:p>
            <w:r>
              <w:rPr>
                <w:b w:val="0"/>
                <w:i w:val="0"/>
              </w:rPr>
              <w:br/>
            </w:r>
            <w:r>
              <w:rPr>
                <w:b/>
                <w:i w:val="0"/>
              </w:rPr>
              <w:t>Hệ số sử dụng đất</w:t>
            </w:r>
          </w:p>
        </w:tc>
      </w:tr>
    </w:tbl>
    <w:p>
      <w:r>
        <w:rPr>
          <w:b/>
          <w:i/>
        </w:rPr>
        <w:t>5.2. Khu trung tâm dịch vụ công cộng cấp đô thị: ký hiệu B</w:t>
      </w:r>
    </w:p>
    <w:p>
      <w:r>
        <w:rPr>
          <w:b w:val="0"/>
          <w:i w:val="0"/>
        </w:rPr>
        <w:t>Khu trung tâm đô thị cấp thành phố bố trí vị trí trung tâm khu đô thị, hình dáng của khu trung tâm là một hình tròn mở, đồng tâm.</w:t>
      </w:r>
    </w:p>
    <w:p>
      <w:r>
        <w:rPr>
          <w:b w:val="0"/>
          <w:i w:val="0"/>
        </w:rPr>
        <w:t>Khu trung tâm sẽ bao gồm các công trình: Tòa nhà hành chính khu đô thị và các cơ sở như Thư viện, Trung tâm nghệ thuật được bố trí trang trọng biểu hiện một cơ chế mở của trung tâm hành chính khu đô thị.</w:t>
      </w:r>
    </w:p>
    <w:p>
      <w:r>
        <w:rPr>
          <w:b/>
          <w:i w:val="0"/>
        </w:rPr>
        <w:t>Cơ cấu quỹ đất xây dựng Khu trung tâm dịch vụ công cộng cấp đô thị (ký hiệu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Các chỉ tiêu quy hoạch - kiến trúc</w:t>
      </w:r>
    </w:p>
    <w:p>
      <w:r>
        <w:rPr>
          <w:b/>
          <w:i w:val="0"/>
        </w:rPr>
        <w:t>Khu trung tâm dịch vụ công cộng cấp đô thị (ký hiệu 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Lô B</w:t>
            </w:r>
          </w:p>
        </w:tc>
        <w:tc>
          <w:tcPr>
            <w:tcW w:type="dxa" w:w="1440"/>
          </w:tcPr>
          <w:p>
            <w:r>
              <w:rPr>
                <w:b w:val="0"/>
                <w:i w:val="0"/>
              </w:rPr>
              <w:br/>
            </w:r>
            <w:r>
              <w:rPr>
                <w:b/>
                <w:i w:val="0"/>
              </w:rPr>
              <w:t>Tên lô</w:t>
            </w:r>
          </w:p>
        </w:tc>
        <w:tc>
          <w:tcPr>
            <w:tcW w:type="dxa" w:w="1440"/>
          </w:tcPr>
          <w:p>
            <w:r>
              <w:rPr>
                <w:b w:val="0"/>
                <w:i w:val="0"/>
              </w:rPr>
              <w:br/>
            </w:r>
            <w:r>
              <w:rPr>
                <w:b/>
                <w:i w:val="0"/>
              </w:rPr>
              <w:t>Diện tích</w:t>
            </w:r>
            <w:r>
              <w:rPr>
                <w:b w:val="0"/>
                <w:i w:val="0"/>
              </w:rPr>
              <w:br/>
            </w:r>
            <w:r>
              <w:rPr>
                <w:b/>
                <w:i w:val="0"/>
              </w:rPr>
              <w:t>(ha/lô)</w:t>
            </w:r>
          </w:p>
        </w:tc>
        <w:tc>
          <w:tcPr>
            <w:tcW w:type="dxa" w:w="1440"/>
          </w:tcPr>
          <w:p>
            <w:r>
              <w:rPr>
                <w:b w:val="0"/>
                <w:i w:val="0"/>
              </w:rPr>
              <w:br/>
            </w:r>
            <w:r>
              <w:rPr>
                <w:b/>
                <w:i w:val="0"/>
              </w:rPr>
              <w:t>Mật độ xây dựng</w:t>
            </w:r>
            <w:r>
              <w:rPr>
                <w:b w:val="0"/>
                <w:i w:val="0"/>
              </w:rPr>
              <w:br/>
            </w:r>
            <w:r>
              <w:rPr>
                <w:b/>
                <w:i w:val="0"/>
              </w:rPr>
              <w:t>(%)</w:t>
            </w:r>
          </w:p>
        </w:tc>
        <w:tc>
          <w:tcPr>
            <w:tcW w:type="dxa" w:w="1440"/>
          </w:tcPr>
          <w:p>
            <w:r>
              <w:rPr>
                <w:b w:val="0"/>
                <w:i w:val="0"/>
              </w:rPr>
              <w:br/>
            </w:r>
            <w:r>
              <w:rPr>
                <w:b/>
                <w:i w:val="0"/>
              </w:rPr>
              <w:t>Tầng cao xây dựng</w:t>
            </w:r>
            <w:r>
              <w:rPr>
                <w:b w:val="0"/>
                <w:i w:val="0"/>
              </w:rPr>
              <w:br/>
            </w:r>
            <w:r>
              <w:rPr>
                <w:b/>
                <w:i w:val="0"/>
              </w:rPr>
              <w:t>(tầng)</w:t>
            </w:r>
          </w:p>
        </w:tc>
        <w:tc>
          <w:tcPr>
            <w:tcW w:type="dxa" w:w="1440"/>
          </w:tcPr>
          <w:p>
            <w:r>
              <w:rPr>
                <w:b w:val="0"/>
                <w:i w:val="0"/>
              </w:rPr>
              <w:br/>
            </w:r>
            <w:r>
              <w:rPr>
                <w:b/>
                <w:i w:val="0"/>
              </w:rPr>
              <w:t>Hệ số sử dụng đất</w:t>
            </w:r>
          </w:p>
        </w:tc>
      </w:tr>
    </w:tbl>
    <w:p>
      <w:r>
        <w:rPr>
          <w:b/>
          <w:i/>
        </w:rPr>
        <w:t>5.3. Khu dân cư:</w:t>
      </w:r>
    </w:p>
    <w:p>
      <w:r>
        <w:rPr>
          <w:b w:val="0"/>
          <w:i w:val="0"/>
        </w:rPr>
        <w:t>Khu dân cư tổ chức với nhiều loại hình nhà ở, như căn hộ trong khu cao tầng, nhà biệt thự, nhà liên kế vườn.</w:t>
      </w:r>
    </w:p>
    <w:p>
      <w:r>
        <w:rPr>
          <w:b w:val="0"/>
          <w:i w:val="0"/>
        </w:rPr>
        <w:t>- Khu nhà ở cao tầng với diện tích 72,07 ha, chỉ tiêu đất ở bình quân 20 m</w:t>
      </w:r>
      <w:r>
        <w:rPr>
          <w:b w:val="0"/>
          <w:i w:val="0"/>
        </w:rPr>
        <w:t>2</w:t>
      </w:r>
      <w:r>
        <w:rPr>
          <w:b w:val="0"/>
          <w:i w:val="0"/>
        </w:rPr>
        <w:t>/người.</w:t>
      </w:r>
    </w:p>
    <w:p>
      <w:r>
        <w:rPr>
          <w:b w:val="0"/>
          <w:i w:val="0"/>
        </w:rPr>
        <w:t>- Khu nhà thấp tầng gồm nhà liên kế, nhà biệt thự, tổng diện tích 44,74 ha, chỉ tiêu đất ở bình quân 40,9m</w:t>
      </w:r>
      <w:r>
        <w:rPr>
          <w:b w:val="0"/>
          <w:i w:val="0"/>
        </w:rPr>
        <w:t>2</w:t>
      </w:r>
      <w:r>
        <w:rPr>
          <w:b w:val="0"/>
          <w:i w:val="0"/>
        </w:rPr>
        <w:t>/người.</w:t>
      </w:r>
    </w:p>
    <w:p>
      <w:r>
        <w:rPr>
          <w:b w:val="0"/>
          <w:i w:val="0"/>
        </w:rPr>
        <w:t>- Khu phức hợp: chức năng thương mại dịch vụ và ở với 53,38 ha, trong đó dành 40% diện tích đất trong khu phức hợp để xây dựng nhà ở.</w:t>
      </w:r>
    </w:p>
    <w:p>
      <w:r>
        <w:rPr>
          <w:b w:val="0"/>
          <w:i w:val="0"/>
        </w:rPr>
        <w:t>Trong nhóm nhà ở được phân thành 4 khu, trong đó có một khu tái định cư:</w:t>
      </w:r>
    </w:p>
    <w:p>
      <w:r>
        <w:rPr>
          <w:b/>
          <w:i/>
        </w:rPr>
        <w:t>5.3.1. Khu dân cư C1: bố trí khu vực phía Tây gần khu Bến sông.</w:t>
      </w:r>
    </w:p>
    <w:p>
      <w:r>
        <w:rPr>
          <w:b w:val="0"/>
          <w:i w:val="0"/>
        </w:rPr>
        <w:t>- Diện tích đất: 235,62 ha</w:t>
      </w:r>
    </w:p>
    <w:p>
      <w:r>
        <w:rPr>
          <w:b w:val="0"/>
          <w:i w:val="0"/>
        </w:rPr>
        <w:t>- Dân số: 37.653 người.</w:t>
      </w:r>
    </w:p>
    <w:p>
      <w:r>
        <w:rPr>
          <w:b w:val="0"/>
          <w:i w:val="0"/>
        </w:rPr>
        <w:t>Trong khu dân cư C1 bố trí:</w:t>
      </w:r>
    </w:p>
    <w:p>
      <w:r>
        <w:rPr>
          <w:b w:val="0"/>
          <w:i w:val="0"/>
        </w:rPr>
        <w:t>+ Khu ở cao tầng: diện tích 46,38 ha.</w:t>
      </w:r>
    </w:p>
    <w:p>
      <w:r>
        <w:rPr>
          <w:b w:val="0"/>
          <w:i w:val="0"/>
        </w:rPr>
        <w:t>+ Khu ở thấp tầng: diện tích 19,41 ha.</w:t>
      </w:r>
    </w:p>
    <w:p>
      <w:r>
        <w:rPr>
          <w:b w:val="0"/>
          <w:i w:val="0"/>
        </w:rPr>
        <w:t>+ Khu phức hợp 33,81ha.</w:t>
      </w:r>
    </w:p>
    <w:p>
      <w:r>
        <w:rPr>
          <w:b w:val="0"/>
          <w:i w:val="0"/>
        </w:rPr>
        <w:t>+ Trường mầm non: tổng diện tích 2,84 ha, bố trí theo nhóm nhà ở, xây dựng ba trường với diện tích mỗi trường là 0,74 ha; 0,83 ha; 1,27 ha.</w:t>
      </w:r>
    </w:p>
    <w:p>
      <w:r>
        <w:rPr>
          <w:b w:val="0"/>
          <w:i w:val="0"/>
        </w:rPr>
        <w:t>+ Trường tiểu học: tổng diện tích 4,68 ha, bố trí theo nhóm nhà ở, xây dựng ba trường với diện tích mỗi trường là 1,72 ha; 1,34 ha; 1,62 ha.</w:t>
      </w:r>
    </w:p>
    <w:p>
      <w:r>
        <w:rPr>
          <w:b w:val="0"/>
          <w:i w:val="0"/>
        </w:rPr>
        <w:t>+ Một trường trung học cơ sở diện tích 2,25 ha và một trường trung học phổ thông phục vụ cho khu đô thị diện tích 3,11 ha.</w:t>
      </w:r>
    </w:p>
    <w:p>
      <w:r>
        <w:rPr>
          <w:b w:val="0"/>
          <w:i w:val="0"/>
        </w:rPr>
        <w:t>+ Các công trình dịch vụ công cộng và khu hành chính quản lý diện tích 2,07 ha.</w:t>
      </w:r>
    </w:p>
    <w:p>
      <w:r>
        <w:rPr>
          <w:b w:val="0"/>
          <w:i w:val="0"/>
        </w:rPr>
        <w:t>+ Các khu công viên cây xanh kết hợp với sân thể dục thể thao trong khu ở.</w:t>
      </w:r>
    </w:p>
    <w:p>
      <w:r>
        <w:rPr>
          <w:b/>
          <w:i w:val="0"/>
        </w:rPr>
        <w:t xml:space="preserve">Cơ cấu quỹ đất xây dựng Khu </w:t>
      </w:r>
      <w:r>
        <w:rPr>
          <w:b/>
          <w:i w:val="0"/>
        </w:rPr>
        <w:t xml:space="preserve">dân cư 1 </w:t>
      </w:r>
      <w:r>
        <w:rPr>
          <w:b/>
          <w:i w:val="0"/>
        </w:rPr>
        <w:t>(ký hiệu C1)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 xml:space="preserve">Các chỉ tiêu quy hoạch - kiến trúc Khu </w:t>
      </w:r>
      <w:r>
        <w:rPr>
          <w:b/>
          <w:i w:val="0"/>
        </w:rPr>
        <w:t xml:space="preserve">dân cư 1 </w:t>
      </w:r>
      <w:r>
        <w:rPr>
          <w:b/>
          <w:i w:val="0"/>
        </w:rPr>
        <w:t>(ký hiệu C1)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Lô C1</w:t>
            </w:r>
          </w:p>
        </w:tc>
        <w:tc>
          <w:tcPr>
            <w:tcW w:type="dxa" w:w="1234"/>
          </w:tcPr>
          <w:p>
            <w:r>
              <w:rPr>
                <w:b w:val="0"/>
                <w:i w:val="0"/>
              </w:rPr>
              <w:br/>
            </w:r>
            <w:r>
              <w:rPr>
                <w:b/>
                <w:i w:val="0"/>
              </w:rPr>
              <w:t>Tên lô</w:t>
            </w:r>
          </w:p>
        </w:tc>
        <w:tc>
          <w:tcPr>
            <w:tcW w:type="dxa" w:w="1234"/>
          </w:tcPr>
          <w:p>
            <w:r>
              <w:rPr>
                <w:b w:val="0"/>
                <w:i w:val="0"/>
              </w:rPr>
              <w:br/>
            </w:r>
            <w:r>
              <w:rPr>
                <w:b/>
                <w:i w:val="0"/>
              </w:rPr>
              <w:t>Diện tích</w:t>
            </w:r>
            <w:r>
              <w:rPr>
                <w:b w:val="0"/>
                <w:i w:val="0"/>
              </w:rPr>
              <w:br/>
            </w:r>
            <w:r>
              <w:rPr>
                <w:b/>
                <w:i w:val="0"/>
              </w:rPr>
              <w:t>(ha/lô)</w:t>
            </w:r>
          </w:p>
        </w:tc>
        <w:tc>
          <w:tcPr>
            <w:tcW w:type="dxa" w:w="1234"/>
          </w:tcPr>
          <w:p>
            <w:r>
              <w:rPr>
                <w:b w:val="0"/>
                <w:i w:val="0"/>
              </w:rPr>
              <w:br/>
            </w:r>
            <w:r>
              <w:rPr>
                <w:b/>
                <w:i w:val="0"/>
              </w:rPr>
              <w:t>Dân số</w:t>
            </w:r>
            <w:r>
              <w:rPr>
                <w:b w:val="0"/>
                <w:i w:val="0"/>
              </w:rPr>
              <w:br/>
            </w:r>
            <w:r>
              <w:rPr>
                <w:b/>
                <w:i w:val="0"/>
              </w:rPr>
              <w:t>(người)</w:t>
            </w:r>
          </w:p>
        </w:tc>
        <w:tc>
          <w:tcPr>
            <w:tcW w:type="dxa" w:w="1234"/>
          </w:tcPr>
          <w:p>
            <w:r>
              <w:rPr>
                <w:b w:val="0"/>
                <w:i w:val="0"/>
              </w:rPr>
              <w:br/>
            </w:r>
            <w:r>
              <w:rPr>
                <w:b/>
                <w:i w:val="0"/>
              </w:rPr>
              <w:t>Mật độ xây dựng</w:t>
            </w:r>
            <w:r>
              <w:rPr>
                <w:b w:val="0"/>
                <w:i w:val="0"/>
              </w:rPr>
              <w:br/>
            </w:r>
            <w:r>
              <w:rPr>
                <w:b/>
                <w:i w:val="0"/>
              </w:rPr>
              <w:t>(%)</w:t>
            </w:r>
          </w:p>
        </w:tc>
        <w:tc>
          <w:tcPr>
            <w:tcW w:type="dxa" w:w="1234"/>
          </w:tcPr>
          <w:p>
            <w:r>
              <w:rPr>
                <w:b w:val="0"/>
                <w:i w:val="0"/>
              </w:rPr>
              <w:br/>
            </w:r>
            <w:r>
              <w:rPr>
                <w:b/>
                <w:i w:val="0"/>
              </w:rPr>
              <w:t>Tầng cao xây dựng</w:t>
            </w:r>
            <w:r>
              <w:rPr>
                <w:b w:val="0"/>
                <w:i w:val="0"/>
              </w:rPr>
              <w:br/>
            </w:r>
            <w:r>
              <w:rPr>
                <w:b/>
                <w:i w:val="0"/>
              </w:rPr>
              <w:t>(tầng</w:t>
            </w:r>
            <w:r>
              <w:rPr>
                <w:b/>
                <w:i w:val="0"/>
              </w:rPr>
              <w:t>)</w:t>
            </w:r>
          </w:p>
        </w:tc>
        <w:tc>
          <w:tcPr>
            <w:tcW w:type="dxa" w:w="1234"/>
          </w:tcPr>
          <w:p>
            <w:r>
              <w:rPr>
                <w:b w:val="0"/>
                <w:i w:val="0"/>
              </w:rPr>
              <w:br/>
            </w:r>
            <w:r>
              <w:rPr>
                <w:b/>
                <w:i w:val="0"/>
              </w:rPr>
              <w:t>Hệ số sử dụng đất</w:t>
            </w:r>
          </w:p>
        </w:tc>
      </w:tr>
    </w:tbl>
    <w:p>
      <w:r>
        <w:rPr>
          <w:b/>
          <w:i/>
        </w:rPr>
        <w:t>5.3.2. Khu dân cư C2</w:t>
      </w:r>
      <w:r>
        <w:rPr>
          <w:b w:val="0"/>
          <w:i w:val="0"/>
        </w:rPr>
        <w:t>: bố trí khu vực kế cận khu đại học.</w:t>
      </w:r>
    </w:p>
    <w:p>
      <w:r>
        <w:rPr>
          <w:b w:val="0"/>
          <w:i w:val="0"/>
        </w:rPr>
        <w:t>- Diện tích đất: 57,84 ha</w:t>
      </w:r>
    </w:p>
    <w:p>
      <w:r>
        <w:rPr>
          <w:b w:val="0"/>
          <w:i w:val="0"/>
        </w:rPr>
        <w:t>- Dân số: 10.299 người</w:t>
      </w:r>
    </w:p>
    <w:p>
      <w:r>
        <w:rPr>
          <w:b w:val="0"/>
          <w:i w:val="0"/>
        </w:rPr>
        <w:t>Trong khu dân cư C2 bố trí:</w:t>
      </w:r>
    </w:p>
    <w:p>
      <w:r>
        <w:rPr>
          <w:b w:val="0"/>
          <w:i w:val="0"/>
        </w:rPr>
        <w:t>+ Khu ở cao tầng: diện tích 16,64 ha.</w:t>
      </w:r>
    </w:p>
    <w:p>
      <w:r>
        <w:rPr>
          <w:b w:val="0"/>
          <w:i w:val="0"/>
        </w:rPr>
        <w:t>+ Khu phức hợp 8,11 ha.</w:t>
      </w:r>
    </w:p>
    <w:p>
      <w:r>
        <w:rPr>
          <w:b w:val="0"/>
          <w:i w:val="0"/>
        </w:rPr>
        <w:t>+ Xây dựng một trường mầm non diện tích là 0,53 ha; một trường trung học cơ sở diện tích 1,2 ha và một trường trung học phổ thông diện tích 2 ha.</w:t>
      </w:r>
    </w:p>
    <w:p>
      <w:r>
        <w:rPr>
          <w:b w:val="0"/>
          <w:i w:val="0"/>
        </w:rPr>
        <w:t>+ Khu công viên cây xanh kết hợp với sân thể dục thể thao trong khu ở.</w:t>
      </w:r>
    </w:p>
    <w:p>
      <w:r>
        <w:rPr>
          <w:b/>
          <w:i w:val="0"/>
        </w:rPr>
        <w:t xml:space="preserve">Cơ cấu quỹ đất xây dựng Khu </w:t>
      </w:r>
      <w:r>
        <w:rPr>
          <w:b/>
          <w:i w:val="0"/>
        </w:rPr>
        <w:t>dân cư 2 (ký hiệu C2)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 xml:space="preserve">Các chỉ tiêu quy hoạch - kiến trúc Khu </w:t>
      </w:r>
      <w:r>
        <w:rPr>
          <w:b/>
          <w:i w:val="0"/>
        </w:rPr>
        <w:t xml:space="preserve">dân cư 2 </w:t>
      </w:r>
      <w:r>
        <w:rPr>
          <w:b/>
          <w:i w:val="0"/>
        </w:rPr>
        <w:t>(ký hiệu C2)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Lô C2</w:t>
            </w:r>
          </w:p>
        </w:tc>
        <w:tc>
          <w:tcPr>
            <w:tcW w:type="dxa" w:w="1234"/>
          </w:tcPr>
          <w:p>
            <w:r>
              <w:rPr>
                <w:b w:val="0"/>
                <w:i w:val="0"/>
              </w:rPr>
              <w:br/>
            </w:r>
            <w:r>
              <w:rPr>
                <w:b/>
                <w:i w:val="0"/>
              </w:rPr>
              <w:t>Tên lô</w:t>
            </w:r>
          </w:p>
        </w:tc>
        <w:tc>
          <w:tcPr>
            <w:tcW w:type="dxa" w:w="1234"/>
          </w:tcPr>
          <w:p>
            <w:r>
              <w:rPr>
                <w:b w:val="0"/>
                <w:i w:val="0"/>
              </w:rPr>
              <w:br/>
            </w:r>
            <w:r>
              <w:rPr>
                <w:b/>
                <w:i w:val="0"/>
              </w:rPr>
              <w:t>Diện tích</w:t>
            </w:r>
            <w:r>
              <w:rPr>
                <w:b w:val="0"/>
                <w:i w:val="0"/>
              </w:rPr>
              <w:br/>
            </w:r>
            <w:r>
              <w:rPr>
                <w:b/>
                <w:i w:val="0"/>
              </w:rPr>
              <w:t>(ha/lô)</w:t>
            </w:r>
          </w:p>
        </w:tc>
        <w:tc>
          <w:tcPr>
            <w:tcW w:type="dxa" w:w="1234"/>
          </w:tcPr>
          <w:p>
            <w:r>
              <w:rPr>
                <w:b w:val="0"/>
                <w:i w:val="0"/>
              </w:rPr>
              <w:br/>
            </w:r>
            <w:r>
              <w:rPr>
                <w:b/>
                <w:i w:val="0"/>
              </w:rPr>
              <w:t>Dân số</w:t>
            </w:r>
            <w:r>
              <w:rPr>
                <w:b w:val="0"/>
                <w:i w:val="0"/>
              </w:rPr>
              <w:br/>
            </w:r>
            <w:r>
              <w:rPr>
                <w:b/>
                <w:i w:val="0"/>
              </w:rPr>
              <w:t>(người )</w:t>
            </w:r>
          </w:p>
        </w:tc>
        <w:tc>
          <w:tcPr>
            <w:tcW w:type="dxa" w:w="1234"/>
          </w:tcPr>
          <w:p>
            <w:r>
              <w:rPr>
                <w:b w:val="0"/>
                <w:i w:val="0"/>
              </w:rPr>
              <w:br/>
            </w:r>
            <w:r>
              <w:rPr>
                <w:b/>
                <w:i w:val="0"/>
              </w:rPr>
              <w:t>Mật độ xây dựng</w:t>
            </w:r>
            <w:r>
              <w:rPr>
                <w:b w:val="0"/>
                <w:i w:val="0"/>
              </w:rPr>
              <w:br/>
            </w:r>
            <w:r>
              <w:rPr>
                <w:b/>
                <w:i w:val="0"/>
              </w:rPr>
              <w:t>( % )</w:t>
            </w:r>
          </w:p>
        </w:tc>
        <w:tc>
          <w:tcPr>
            <w:tcW w:type="dxa" w:w="1234"/>
          </w:tcPr>
          <w:p>
            <w:r>
              <w:rPr>
                <w:b w:val="0"/>
                <w:i w:val="0"/>
              </w:rPr>
              <w:br/>
            </w:r>
            <w:r>
              <w:rPr>
                <w:b/>
                <w:i w:val="0"/>
              </w:rPr>
              <w:t>Tầng cao xây dựng</w:t>
            </w:r>
            <w:r>
              <w:rPr>
                <w:b w:val="0"/>
                <w:i w:val="0"/>
              </w:rPr>
              <w:br/>
            </w:r>
            <w:r>
              <w:rPr>
                <w:b/>
                <w:i w:val="0"/>
              </w:rPr>
              <w:t>(tầng</w:t>
            </w:r>
            <w:r>
              <w:rPr>
                <w:b/>
                <w:i w:val="0"/>
              </w:rPr>
              <w:t>)</w:t>
            </w:r>
          </w:p>
        </w:tc>
        <w:tc>
          <w:tcPr>
            <w:tcW w:type="dxa" w:w="1234"/>
          </w:tcPr>
          <w:p>
            <w:r>
              <w:rPr>
                <w:b w:val="0"/>
                <w:i w:val="0"/>
              </w:rPr>
              <w:br/>
            </w:r>
            <w:r>
              <w:rPr>
                <w:b/>
                <w:i w:val="0"/>
              </w:rPr>
              <w:t>Hệ số sử dụng đất</w:t>
            </w:r>
          </w:p>
        </w:tc>
      </w:tr>
    </w:tbl>
    <w:p>
      <w:r>
        <w:rPr>
          <w:b/>
          <w:i/>
        </w:rPr>
        <w:t xml:space="preserve">5.3.3. Khu dân cư C3: </w:t>
      </w:r>
      <w:r>
        <w:rPr>
          <w:b w:val="0"/>
          <w:i w:val="0"/>
        </w:rPr>
        <w:t>bố trí khu vực phía Nam.</w:t>
      </w:r>
    </w:p>
    <w:p>
      <w:r>
        <w:rPr>
          <w:b w:val="0"/>
          <w:i w:val="0"/>
        </w:rPr>
        <w:t>- Diện tích đất: 51,90 ha</w:t>
      </w:r>
    </w:p>
    <w:p>
      <w:r>
        <w:rPr>
          <w:b w:val="0"/>
          <w:i w:val="0"/>
        </w:rPr>
        <w:t>- Dân số: 9.358 người</w:t>
      </w:r>
    </w:p>
    <w:p>
      <w:r>
        <w:rPr>
          <w:b w:val="0"/>
          <w:i w:val="0"/>
        </w:rPr>
        <w:t>Trong khu dân cư C3 bố trí:</w:t>
      </w:r>
    </w:p>
    <w:p>
      <w:r>
        <w:rPr>
          <w:b w:val="0"/>
          <w:i w:val="0"/>
        </w:rPr>
        <w:t>+ Khu ở cao tầng: diện tích 6,09 ha.</w:t>
      </w:r>
    </w:p>
    <w:p>
      <w:r>
        <w:rPr>
          <w:b w:val="0"/>
          <w:i w:val="0"/>
        </w:rPr>
        <w:t>+ Khu ở thấp tầng: diện tích 16,34 ha.</w:t>
      </w:r>
    </w:p>
    <w:p>
      <w:r>
        <w:rPr>
          <w:b w:val="0"/>
          <w:i w:val="0"/>
        </w:rPr>
        <w:t>+ Khu phức hợp 7,39 ha.</w:t>
      </w:r>
    </w:p>
    <w:p>
      <w:r>
        <w:rPr>
          <w:b w:val="0"/>
          <w:i w:val="0"/>
        </w:rPr>
        <w:t>+ Xây dựng một trường mầm non diện tích là 0,76 ha; một trường tiểu học diện tích 1,57 ha và một trường trung học phổ thông diện tích 2,46 ha.</w:t>
      </w:r>
    </w:p>
    <w:p>
      <w:r>
        <w:rPr>
          <w:b w:val="0"/>
          <w:i w:val="0"/>
        </w:rPr>
        <w:t>+ Khu công viên cây xanh kết hợp với sân thể dục thể thao trong khu ở.</w:t>
      </w:r>
    </w:p>
    <w:p>
      <w:r>
        <w:rPr>
          <w:b/>
          <w:i w:val="0"/>
        </w:rPr>
        <w:t xml:space="preserve">Cơ cấu quỹ đất xây dựng Khu </w:t>
      </w:r>
      <w:r>
        <w:rPr>
          <w:b/>
          <w:i w:val="0"/>
        </w:rPr>
        <w:t>dân cư 3 (ký hiệu C3)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 xml:space="preserve">Các chỉ tiêu quy hoạch - kiến trúc Khu </w:t>
      </w:r>
      <w:r>
        <w:rPr>
          <w:b/>
          <w:i w:val="0"/>
        </w:rPr>
        <w:t xml:space="preserve">dân cư 3 </w:t>
      </w:r>
      <w:r>
        <w:rPr>
          <w:b/>
          <w:i w:val="0"/>
        </w:rPr>
        <w:t>(ký hiệu C3)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Lô C3</w:t>
            </w:r>
          </w:p>
        </w:tc>
        <w:tc>
          <w:tcPr>
            <w:tcW w:type="dxa" w:w="1234"/>
          </w:tcPr>
          <w:p>
            <w:r>
              <w:rPr>
                <w:b w:val="0"/>
                <w:i w:val="0"/>
              </w:rPr>
              <w:br/>
            </w:r>
            <w:r>
              <w:rPr>
                <w:b/>
                <w:i w:val="0"/>
              </w:rPr>
              <w:t>Tên lô</w:t>
            </w:r>
          </w:p>
        </w:tc>
        <w:tc>
          <w:tcPr>
            <w:tcW w:type="dxa" w:w="1234"/>
          </w:tcPr>
          <w:p>
            <w:r>
              <w:rPr>
                <w:b w:val="0"/>
                <w:i w:val="0"/>
              </w:rPr>
              <w:br/>
            </w:r>
            <w:r>
              <w:rPr>
                <w:b/>
                <w:i w:val="0"/>
              </w:rPr>
              <w:t>Diện tích</w:t>
            </w:r>
            <w:r>
              <w:rPr>
                <w:b w:val="0"/>
                <w:i w:val="0"/>
              </w:rPr>
              <w:br/>
            </w:r>
            <w:r>
              <w:rPr>
                <w:b/>
                <w:i w:val="0"/>
              </w:rPr>
              <w:t>(ha/lô)</w:t>
            </w:r>
          </w:p>
        </w:tc>
        <w:tc>
          <w:tcPr>
            <w:tcW w:type="dxa" w:w="1234"/>
          </w:tcPr>
          <w:p>
            <w:r>
              <w:rPr>
                <w:b w:val="0"/>
                <w:i w:val="0"/>
              </w:rPr>
              <w:br/>
            </w:r>
            <w:r>
              <w:rPr>
                <w:b/>
                <w:i w:val="0"/>
              </w:rPr>
              <w:t>Dân số</w:t>
            </w:r>
            <w:r>
              <w:rPr>
                <w:b w:val="0"/>
                <w:i w:val="0"/>
              </w:rPr>
              <w:br/>
            </w:r>
            <w:r>
              <w:rPr>
                <w:b/>
                <w:i w:val="0"/>
              </w:rPr>
              <w:t>(người)</w:t>
            </w:r>
          </w:p>
        </w:tc>
        <w:tc>
          <w:tcPr>
            <w:tcW w:type="dxa" w:w="1234"/>
          </w:tcPr>
          <w:p>
            <w:r>
              <w:rPr>
                <w:b w:val="0"/>
                <w:i w:val="0"/>
              </w:rPr>
              <w:br/>
            </w:r>
            <w:r>
              <w:rPr>
                <w:b/>
                <w:i w:val="0"/>
              </w:rPr>
              <w:t>Mật độ xây dựng</w:t>
            </w:r>
            <w:r>
              <w:rPr>
                <w:b w:val="0"/>
                <w:i w:val="0"/>
              </w:rPr>
              <w:br/>
            </w:r>
            <w:r>
              <w:rPr>
                <w:b/>
                <w:i w:val="0"/>
              </w:rPr>
              <w:t>(%)</w:t>
            </w:r>
          </w:p>
        </w:tc>
        <w:tc>
          <w:tcPr>
            <w:tcW w:type="dxa" w:w="1234"/>
          </w:tcPr>
          <w:p>
            <w:r>
              <w:rPr>
                <w:b w:val="0"/>
                <w:i w:val="0"/>
              </w:rPr>
              <w:br/>
            </w:r>
            <w:r>
              <w:rPr>
                <w:b/>
                <w:i w:val="0"/>
              </w:rPr>
              <w:t>Tầng cao xây dựng</w:t>
            </w:r>
            <w:r>
              <w:rPr>
                <w:b w:val="0"/>
                <w:i w:val="0"/>
              </w:rPr>
              <w:br/>
            </w:r>
            <w:r>
              <w:rPr>
                <w:b/>
                <w:i w:val="0"/>
              </w:rPr>
              <w:t>(tầng</w:t>
            </w:r>
            <w:r>
              <w:rPr>
                <w:b/>
                <w:i w:val="0"/>
              </w:rPr>
              <w:t>)</w:t>
            </w:r>
          </w:p>
        </w:tc>
        <w:tc>
          <w:tcPr>
            <w:tcW w:type="dxa" w:w="1234"/>
          </w:tcPr>
          <w:p>
            <w:r>
              <w:rPr>
                <w:b w:val="0"/>
                <w:i w:val="0"/>
              </w:rPr>
              <w:br/>
            </w:r>
            <w:r>
              <w:rPr>
                <w:b/>
                <w:i w:val="0"/>
              </w:rPr>
              <w:t>Hệ số sử dụng đất</w:t>
            </w:r>
          </w:p>
        </w:tc>
      </w:tr>
    </w:tbl>
    <w:p>
      <w:r>
        <w:rPr>
          <w:b/>
          <w:i/>
        </w:rPr>
        <w:t>5.3.4. Khu tái định cư:</w:t>
      </w:r>
      <w:r>
        <w:rPr>
          <w:b w:val="0"/>
          <w:i w:val="0"/>
        </w:rPr>
        <w:t xml:space="preserve"> ký hiệu D, bố trí khu vực phía Nam.</w:t>
      </w:r>
    </w:p>
    <w:p>
      <w:r>
        <w:rPr>
          <w:b w:val="0"/>
          <w:i w:val="0"/>
        </w:rPr>
        <w:t>- Diện tích đất: 29,25 ha</w:t>
      </w:r>
    </w:p>
    <w:p>
      <w:r>
        <w:rPr>
          <w:b w:val="0"/>
          <w:i w:val="0"/>
        </w:rPr>
        <w:t>- Dân số: 7.690 người</w:t>
      </w:r>
    </w:p>
    <w:p>
      <w:r>
        <w:rPr>
          <w:b w:val="0"/>
          <w:i w:val="0"/>
        </w:rPr>
        <w:t>Trong khu tái định cư bố trí:</w:t>
      </w:r>
    </w:p>
    <w:p>
      <w:r>
        <w:rPr>
          <w:b w:val="0"/>
          <w:i w:val="0"/>
        </w:rPr>
        <w:t>+ Khu ở cao tầng: diện tích 2,96 ha.</w:t>
      </w:r>
    </w:p>
    <w:p>
      <w:r>
        <w:rPr>
          <w:b w:val="0"/>
          <w:i w:val="0"/>
        </w:rPr>
        <w:t>+ Khu phức hợp: 4,07ha.</w:t>
      </w:r>
    </w:p>
    <w:p>
      <w:r>
        <w:rPr>
          <w:b w:val="0"/>
          <w:i w:val="0"/>
        </w:rPr>
        <w:t>+ Khu ở thấp tầng: diện tích 8,99 ha .</w:t>
      </w:r>
    </w:p>
    <w:p>
      <w:r>
        <w:rPr>
          <w:b w:val="0"/>
          <w:i w:val="0"/>
        </w:rPr>
        <w:t>+ Xây dựng một trường mầm non diện tích là 0,5 ha và một trường tiểu học diện tích 1,05 ha.</w:t>
      </w:r>
    </w:p>
    <w:p>
      <w:r>
        <w:rPr>
          <w:b w:val="0"/>
          <w:i w:val="0"/>
        </w:rPr>
        <w:t>+ Khu công viên cây xanh kết hợp với sân thể dục thể thao trong khu ở.</w:t>
      </w:r>
    </w:p>
    <w:p>
      <w:r>
        <w:rPr>
          <w:b/>
          <w:i w:val="0"/>
        </w:rPr>
        <w:t xml:space="preserve">Cơ cấu quỹ đất xây dựng Khu tái định cư </w:t>
      </w:r>
      <w:r>
        <w:rPr>
          <w:b/>
          <w:i w:val="0"/>
        </w:rPr>
        <w:t>(</w:t>
      </w:r>
      <w:r>
        <w:rPr>
          <w:b/>
          <w:i w:val="0"/>
        </w:rPr>
        <w:t>ký hiệu 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val="0"/>
        </w:rPr>
        <w:t xml:space="preserve">Các chỉ tiêu quy hoạch - kiến trúc Khu </w:t>
      </w:r>
      <w:r>
        <w:rPr>
          <w:b/>
          <w:i w:val="0"/>
        </w:rPr>
        <w:t xml:space="preserve">tái định cư </w:t>
      </w:r>
      <w:r>
        <w:rPr>
          <w:b/>
          <w:i w:val="0"/>
        </w:rPr>
        <w:t>(ký hiệu 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Lô D</w:t>
            </w:r>
          </w:p>
        </w:tc>
        <w:tc>
          <w:tcPr>
            <w:tcW w:type="dxa" w:w="1234"/>
          </w:tcPr>
          <w:p>
            <w:r>
              <w:rPr>
                <w:b w:val="0"/>
                <w:i w:val="0"/>
              </w:rPr>
              <w:br/>
            </w:r>
            <w:r>
              <w:rPr>
                <w:b/>
                <w:i w:val="0"/>
              </w:rPr>
              <w:t>Tên lô</w:t>
            </w:r>
          </w:p>
        </w:tc>
        <w:tc>
          <w:tcPr>
            <w:tcW w:type="dxa" w:w="1234"/>
          </w:tcPr>
          <w:p>
            <w:r>
              <w:rPr>
                <w:b w:val="0"/>
                <w:i w:val="0"/>
              </w:rPr>
              <w:br/>
            </w:r>
            <w:r>
              <w:rPr>
                <w:b/>
                <w:i w:val="0"/>
              </w:rPr>
              <w:t>Diện tích</w:t>
            </w:r>
            <w:r>
              <w:rPr>
                <w:b w:val="0"/>
                <w:i w:val="0"/>
              </w:rPr>
              <w:br/>
            </w:r>
            <w:r>
              <w:rPr>
                <w:b/>
                <w:i w:val="0"/>
              </w:rPr>
              <w:t>(ha/lô)</w:t>
            </w:r>
          </w:p>
        </w:tc>
        <w:tc>
          <w:tcPr>
            <w:tcW w:type="dxa" w:w="1234"/>
          </w:tcPr>
          <w:p>
            <w:r>
              <w:rPr>
                <w:b w:val="0"/>
                <w:i w:val="0"/>
              </w:rPr>
              <w:br/>
            </w:r>
            <w:r>
              <w:rPr>
                <w:b/>
                <w:i w:val="0"/>
              </w:rPr>
              <w:t>Dân số</w:t>
            </w:r>
            <w:r>
              <w:rPr>
                <w:b w:val="0"/>
                <w:i w:val="0"/>
              </w:rPr>
              <w:br/>
            </w:r>
            <w:r>
              <w:rPr>
                <w:b/>
                <w:i w:val="0"/>
              </w:rPr>
              <w:t>(người )</w:t>
            </w:r>
          </w:p>
        </w:tc>
        <w:tc>
          <w:tcPr>
            <w:tcW w:type="dxa" w:w="1234"/>
          </w:tcPr>
          <w:p>
            <w:r>
              <w:rPr>
                <w:b w:val="0"/>
                <w:i w:val="0"/>
              </w:rPr>
              <w:br/>
            </w:r>
            <w:r>
              <w:rPr>
                <w:b/>
                <w:i w:val="0"/>
              </w:rPr>
              <w:t>Mật độ xây dựng</w:t>
            </w:r>
            <w:r>
              <w:rPr>
                <w:b w:val="0"/>
                <w:i w:val="0"/>
              </w:rPr>
              <w:br/>
            </w:r>
            <w:r>
              <w:rPr>
                <w:b/>
                <w:i w:val="0"/>
              </w:rPr>
              <w:t>(%)</w:t>
            </w:r>
          </w:p>
        </w:tc>
        <w:tc>
          <w:tcPr>
            <w:tcW w:type="dxa" w:w="1234"/>
          </w:tcPr>
          <w:p>
            <w:r>
              <w:rPr>
                <w:b w:val="0"/>
                <w:i w:val="0"/>
              </w:rPr>
              <w:br/>
            </w:r>
            <w:r>
              <w:rPr>
                <w:b/>
                <w:i w:val="0"/>
              </w:rPr>
              <w:t>Tầng cao xây dựng</w:t>
            </w:r>
            <w:r>
              <w:rPr>
                <w:b w:val="0"/>
                <w:i w:val="0"/>
              </w:rPr>
              <w:br/>
            </w:r>
            <w:r>
              <w:rPr>
                <w:b/>
                <w:i w:val="0"/>
              </w:rPr>
              <w:t>(tầng</w:t>
            </w:r>
            <w:r>
              <w:rPr>
                <w:b/>
                <w:i w:val="0"/>
              </w:rPr>
              <w:t>)</w:t>
            </w:r>
          </w:p>
        </w:tc>
        <w:tc>
          <w:tcPr>
            <w:tcW w:type="dxa" w:w="1234"/>
          </w:tcPr>
          <w:p>
            <w:r>
              <w:rPr>
                <w:b w:val="0"/>
                <w:i w:val="0"/>
              </w:rPr>
              <w:br/>
            </w:r>
            <w:r>
              <w:rPr>
                <w:b/>
                <w:i w:val="0"/>
              </w:rPr>
              <w:t>Hệ số sử dụng đất</w:t>
            </w:r>
          </w:p>
        </w:tc>
      </w:tr>
    </w:tbl>
    <w:p>
      <w:r>
        <w:rPr>
          <w:b/>
          <w:i/>
        </w:rPr>
        <w:t>5.4. Khu bến sông: ký hiệu E</w:t>
      </w:r>
    </w:p>
    <w:p>
      <w:r>
        <w:rPr>
          <w:b w:val="0"/>
          <w:i w:val="0"/>
        </w:rPr>
        <w:t>Khu bến sông có tổng diện tích là 37,5ha, bố trí sát kênh Thầy Cai về phía Tây Bắc, gồm trung tâm giao nhận với mục đích chứa và giao nhận vận chuyển quanh đô thị và các tỉnh.</w:t>
      </w:r>
    </w:p>
    <w:p>
      <w:r>
        <w:rPr>
          <w:b/>
          <w:i w:val="0"/>
        </w:rPr>
        <w:t xml:space="preserve">Cơ cấu quỹ đất xây dựng Khu bến sông </w:t>
      </w:r>
      <w:r>
        <w:rPr>
          <w:b/>
          <w:i w:val="0"/>
        </w:rPr>
        <w:t>(</w:t>
      </w:r>
      <w:r>
        <w:rPr>
          <w:b/>
          <w:i w:val="0"/>
        </w:rPr>
        <w:t>ký hiệu 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rPr>
        <w:t>5.5. Khu công trình đầu mối hạ tầng kỹ thuật: Ký hiệu F</w:t>
      </w:r>
    </w:p>
    <w:p>
      <w:r>
        <w:rPr>
          <w:b w:val="0"/>
          <w:i w:val="0"/>
        </w:rPr>
        <w:t>Khu công trình đầu mối hạ tầng kỹ thuật có tổng diện tích là 68,17 ha. Trong đó gồm trạm xử lý nước thải, bô rác, trạm điện, hành lang tuyến điện,...</w:t>
      </w:r>
    </w:p>
    <w:p>
      <w:r>
        <w:rPr>
          <w:b/>
          <w:i w:val="0"/>
        </w:rPr>
        <w:t xml:space="preserve">Cơ cấu quỹ đất xây dựng Khu </w:t>
      </w:r>
      <w:r>
        <w:rPr>
          <w:b/>
          <w:i w:val="0"/>
        </w:rPr>
        <w:t xml:space="preserve">công trình đầu mối hạ tầng kỹ thuật </w:t>
      </w:r>
      <w:r>
        <w:rPr>
          <w:b/>
          <w:i w:val="0"/>
        </w:rPr>
        <w:t>(</w:t>
      </w:r>
      <w:r>
        <w:rPr>
          <w:b/>
          <w:i w:val="0"/>
        </w:rPr>
        <w:t>ký hiệu 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p>
      <w:r>
        <w:rPr>
          <w:b/>
          <w:i/>
        </w:rPr>
        <w:t>5.6. Khu cây xanh:</w:t>
      </w:r>
    </w:p>
    <w:p>
      <w:r>
        <w:rPr>
          <w:b w:val="0"/>
          <w:i w:val="0"/>
        </w:rPr>
        <w:t>Cây xanh sử dụng công cộng gồm công viên, vành đai cây xanh và các khu thể thao, khu vui chơi giải trí... trong đơn vị ở và khu giáo dục đào tạo.</w:t>
      </w:r>
    </w:p>
    <w:p>
      <w:r>
        <w:rPr>
          <w:b w:val="0"/>
          <w:i w:val="0"/>
        </w:rPr>
        <w:t>Cây xanh ven sông rạch.</w:t>
      </w:r>
    </w:p>
    <w:p>
      <w:r>
        <w:rPr>
          <w:b w:val="0"/>
          <w:i w:val="0"/>
        </w:rPr>
        <w:t>Cây xanh cách ly tuyến điện.</w:t>
      </w:r>
    </w:p>
    <w:p>
      <w:r>
        <w:rPr>
          <w:b/>
          <w:i w:val="0"/>
        </w:rPr>
        <w:t>6. Tổ chức không gian kiến trúc cảnh quan:</w:t>
      </w:r>
    </w:p>
    <w:p>
      <w:r>
        <w:rPr>
          <w:b/>
          <w:i/>
        </w:rPr>
        <w:t>6.1. Bố cục không gian kiến trúc toàn khu:</w:t>
      </w:r>
    </w:p>
    <w:p>
      <w:r>
        <w:rPr>
          <w:b w:val="0"/>
          <w:i w:val="0"/>
        </w:rPr>
        <w:t>Khu quy hoạch là khu đô thị đại học do đó việc tổ chức không gian bố cục các hạng mục công trình kiến trúc, xây dựng phải tuân thủ tính đặc trưng của một trung tâm giáo dục cấp thành phố với nhiều trường đại học đạt chuẩn quốc tế và trung tâm dịch vụ công cộng cấp đô thị hiện đại.</w:t>
      </w:r>
    </w:p>
    <w:p>
      <w:r>
        <w:rPr>
          <w:b w:val="0"/>
          <w:i w:val="0"/>
        </w:rPr>
        <w:t xml:space="preserve">Bố cục không gian đô thị được tổ chức theo bốn chủ đề: làm việc, tri thức - học tập, sống, vui chơi giải trí. Tổ chức không gian kiến trúc với các chức năng chính cho từng khu </w:t>
      </w:r>
      <w:r>
        <w:br/>
      </w:r>
      <w:r>
        <w:rPr>
          <w:b w:val="0"/>
          <w:i w:val="0"/>
        </w:rPr>
        <w:t>như sau:</w:t>
      </w:r>
    </w:p>
    <w:p>
      <w:r>
        <w:rPr>
          <w:b w:val="0"/>
          <w:i w:val="0"/>
        </w:rPr>
        <w:t>- Khu giáo dục - đào tạo nằm ở phía Đông, bao bọc bởi kênh Xáng, kênh An Hạ, tuyến điện cao thế và các tuyến đường MR2, MR3 dành cho các công trình giáo dục - đào tạo cấp thành phố (trường đại học, cao đẳng, cơ sở nghiên cứu…) khu ký túc xá, khu y tế, công viên và không gian công cộng dịch vu.</w:t>
      </w:r>
    </w:p>
    <w:p>
      <w:r>
        <w:rPr>
          <w:b w:val="0"/>
          <w:i w:val="0"/>
        </w:rPr>
        <w:t>- Khu trung tâm dịch vụ công cộng cấp đô thị nằm ở trung tâm, với các khu thương mại dịch vụ, văn phòng, khách sạn, khu hành chính, trung tâm văn hóa, trung tâm triển lãm và hội nghị, thư viện, trung tâm nghệ thuật, … được thiết kế lan tỏa từ hồ nước trung tâm như hạt nhân của toàn bộ sự phát triển với công viên hồ cảnh quan và tám tòa nhà cao tầng.</w:t>
      </w:r>
    </w:p>
    <w:p>
      <w:r>
        <w:rPr>
          <w:b w:val="0"/>
          <w:i w:val="0"/>
        </w:rPr>
        <w:t>- Khu dân cư: (ở, công trình công cộng, cây xanh. . .) được bố trí xen cài đáp ứng nhu cầu một không gian sống của đô thị hiện đại và tạo cảnh quan sinh động, hài hòa.</w:t>
      </w:r>
    </w:p>
    <w:p>
      <w:r>
        <w:rPr>
          <w:b w:val="0"/>
          <w:i w:val="0"/>
        </w:rPr>
        <w:t>- Khu bến sông nằm phía Tây, tại mũi đất giao điểm của kênh Xáng và kênh ranh Long An, thuận lợi giao thông thủy.</w:t>
      </w:r>
    </w:p>
    <w:p>
      <w:r>
        <w:rPr>
          <w:b w:val="0"/>
          <w:i w:val="0"/>
        </w:rPr>
        <w:t>- Kênh Xáng và kênh An Hạ có chức năng giao thông thủy, để bảo vệ tầm nhìn, cảnh quan dọc kênh Xáng, An Hạ chỉ đề xuất các công trình xây dựng thấp tầng và các tuyến đường, dải cây xanh dọc theo bờ kênh.</w:t>
      </w:r>
    </w:p>
    <w:p>
      <w:r>
        <w:rPr>
          <w:b/>
          <w:i/>
        </w:rPr>
        <w:t>6.2. Bố cục không gian các khu chức năng, điểm nhấn:</w:t>
      </w:r>
    </w:p>
    <w:p>
      <w:r>
        <w:rPr>
          <w:b w:val="0"/>
          <w:i w:val="0"/>
        </w:rPr>
        <w:t>Khu giáo dục - đào tạo: với các trường đại học tầng cao tối đa 12 tầng.</w:t>
      </w:r>
    </w:p>
    <w:p>
      <w:r>
        <w:rPr>
          <w:b w:val="0"/>
          <w:i w:val="0"/>
        </w:rPr>
        <w:t>Khu trung tâm dịch vụ công cộng cấp đô thị bố trí ở vị trí trung tâm, với các khối nhà cao tầng, tạo điểm nhấn cho toàn khu đô thị.</w:t>
      </w:r>
    </w:p>
    <w:p>
      <w:r>
        <w:rPr>
          <w:b w:val="0"/>
          <w:i w:val="0"/>
        </w:rPr>
        <w:t>Khu ở đô thị: khu ở cao tầng, thấp tầng và khu công viên, với hình thức kiến trúc đẹp, hài hòa, tạo thành quần thể kiến trúc khang trang, hiện đại.</w:t>
      </w:r>
    </w:p>
    <w:p>
      <w:r>
        <w:rPr>
          <w:b w:val="0"/>
          <w:i w:val="0"/>
        </w:rPr>
        <w:t>Không gian cây xanh bao gồm các khu công viên, các mảng xanh tập trung, cây xanh dọc kênh rạch và cây xanh cách ly, tạo thành vành đai xanh kết nối xuyên suốt các khu chức năng trong Khu đô thị đại học, tạo cảnh quan đẹp, góp phần cải tạo vi khí hậu.</w:t>
      </w:r>
    </w:p>
    <w:p>
      <w:r>
        <w:rPr>
          <w:b/>
          <w:i/>
        </w:rPr>
        <w:t>6.3. Các yêu cầu tổ chức, bảo vệ cảnh quan và không gian ngầm:</w:t>
      </w:r>
    </w:p>
    <w:p>
      <w:r>
        <w:rPr>
          <w:b w:val="0"/>
          <w:i w:val="0"/>
        </w:rPr>
        <w:t>Hệ thống giao thông là một yếu tố nền cho cảnh quan đô thị, được thiết kế hợp lý cho lưu thông và hài hòa trong bố cục. Quy định các góc vạt của từng ô phố để đảm bảo tầm nhìn thông thoáng; trồng cây dọc theo vĩa hè, màu sắc, độ cao, dáng cây. . . để tạo nên một sự hài hòa trong cảnh quan.</w:t>
      </w:r>
    </w:p>
    <w:p>
      <w:r>
        <w:rPr>
          <w:b w:val="0"/>
          <w:i w:val="0"/>
        </w:rPr>
        <w:t>Cấu trúc cảnh quan trong Khu đô thị đại học đa dạng với nhiều loại hình khác nhau:</w:t>
      </w:r>
    </w:p>
    <w:p>
      <w:r>
        <w:rPr>
          <w:b w:val="0"/>
          <w:i w:val="0"/>
        </w:rPr>
        <w:t>- Cảnh quan trong phần khoảng lùi xây dựng: đây là phần không được phép xây dựng sẽ bao gồm các thảm cỏ, các tầng cây bụi thấp tầng, để làm nổi bật các công trình kiến trúc.</w:t>
      </w:r>
    </w:p>
    <w:p>
      <w:r>
        <w:rPr>
          <w:b w:val="0"/>
          <w:i w:val="0"/>
        </w:rPr>
        <w:t>- Cảnh quan giữa các công trình: đây là khu vực bố trí các cây cao tầng được bố trí tự do dạng cây tạo bóng mát, cảnh quan khu vực này mang khuynh hướng tự nhiên.</w:t>
      </w:r>
    </w:p>
    <w:p>
      <w:r>
        <w:rPr>
          <w:b w:val="0"/>
          <w:i w:val="0"/>
        </w:rPr>
        <w:t>- Cảnh quan cây xanh trục đường : trồng cây bóng mát dọc các tuyến đường có lộ giới ≥ 20 m, các tuyến đường lộ giới ≤ 18 m có thể trồng các loại cây cảnh hoặc cây lá kim, cây có hoa theo từng trục đường tạo sự sinh động cho khu vực.</w:t>
      </w:r>
    </w:p>
    <w:p>
      <w:r>
        <w:rPr>
          <w:b w:val="0"/>
          <w:i w:val="0"/>
        </w:rPr>
        <w:t>- Đối với các khu vực: Trung tâm dịch vụ công cộng, khu ở cao tầng (trong khu ở đô thị), khu giáo dục đào tạo… tổ chức không gian ngầm phục vụ bãi đổ xe (giao thông tỉnh) và các hạ tầng kỹ thuật thiết yếu khác.</w:t>
      </w:r>
    </w:p>
    <w:p>
      <w:r>
        <w:rPr>
          <w:b w:val="0"/>
          <w:i w:val="0"/>
        </w:rPr>
        <w:t>- Phát triển không gian ngầm theo hướng hiện đại.</w:t>
      </w:r>
    </w:p>
    <w:p>
      <w:r>
        <w:rPr>
          <w:b w:val="0"/>
          <w:i w:val="0"/>
        </w:rPr>
        <w:t>- Chỉ giới xây dựng công trình được lùi vào sâu, phía trước là bãi đỗ xe, trồng cây xanh (đối với nhà ở thấp tầng). Nhà ở cao tầng được xây dựng giáp các trục đường lớn có tầm nhìn đẹp, có không gian rộng.</w:t>
      </w:r>
    </w:p>
    <w:p>
      <w:r>
        <w:rPr>
          <w:b w:val="0"/>
          <w:i w:val="0"/>
        </w:rPr>
        <w:t>- Toàn bộ các công trình xây dựng phải tuân thủ chỉ giới đường đỏ, chỉ giới xây dựng, khoảng cách ly kênh rạch.</w:t>
      </w:r>
    </w:p>
    <w:p>
      <w:r>
        <w:rPr>
          <w:b/>
          <w:i/>
        </w:rPr>
        <w:t>7. Quy hoạch hệ thống hạ tầng kỹ thuật:</w:t>
      </w:r>
    </w:p>
    <w:p>
      <w:r>
        <w:rPr>
          <w:b w:val="0"/>
          <w:i w:val="0"/>
        </w:rPr>
        <w:t>7.1. Quy hoạch giao thông:</w:t>
      </w:r>
    </w:p>
    <w:p>
      <w:r>
        <w:rPr>
          <w:b w:val="0"/>
          <w:i/>
        </w:rPr>
        <w:t>Giao thông bộ:</w:t>
      </w:r>
    </w:p>
    <w:p>
      <w:r>
        <w:rPr>
          <w:b w:val="0"/>
          <w:i w:val="0"/>
        </w:rPr>
        <w:t>Xây dựng mới các tuyến đường chính đối ngoại bao gồm đường số 1 (đường MR1), đường số 3A và 3B, đường số 5 (đường MR2), đường số 6 (đường MR3) theo đồ án điều chỉnh quy hoạch chung huyện Hóc Môn và đồ án quy hoạch chung Khu đô thị Tây - Bắc. Xây dựng mới các tuyến đường khu vực và đường nội bộ như sau:</w:t>
      </w:r>
    </w:p>
    <w:p>
      <w:r>
        <w:rPr>
          <w:b w:val="0"/>
          <w:i w:val="0"/>
        </w:rPr>
        <w:t>- Tuyến đường chính dự kiến 6 - 8 làn xe, lộ giới 30 - 60 m.</w:t>
      </w:r>
    </w:p>
    <w:p>
      <w:r>
        <w:rPr>
          <w:b w:val="0"/>
          <w:i w:val="0"/>
        </w:rPr>
        <w:t>- Tuyến đường khu vực dự kiến 6 làn xe, lộ giới 47 - 60 m.</w:t>
      </w:r>
    </w:p>
    <w:p>
      <w:r>
        <w:rPr>
          <w:b w:val="0"/>
          <w:i w:val="0"/>
        </w:rPr>
        <w:t>- Đường nội bộ 3 - 5 làn xe, lộ giới 20 - 30m.</w:t>
      </w:r>
    </w:p>
    <w:p>
      <w:r>
        <w:rPr>
          <w:b w:val="0"/>
          <w:i w:val="0"/>
        </w:rPr>
        <w:t>Các tuyến đường giao cắt với nhau cùng mức với các bán kính bó vỉa tùy theo vị trí giao lộ, giao lộ chính Rmin = 20m; giao lộ phụ Rmin = 8m. Riêng tại vị trí nút giao cắt đường số 1 (đường MR1) với đường số 2A (đường SR3), bố trí nút vòng xoay với bán kính đảo trung tâm R = 45m, bán kính khống chế ngoài R = 75m; tại vị trí giao cắt đường số 5 (đường MR2) với đường số 6 (đường MR3), bố trí nút vòng xoay với bán kính đảo trung tâm R = 33m, bán kính khống chế ngoài R = 60m.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đường</w:t>
            </w:r>
          </w:p>
        </w:tc>
        <w:tc>
          <w:tcPr>
            <w:tcW w:type="dxa" w:w="1728"/>
          </w:tcPr>
          <w:p>
            <w:r>
              <w:rPr>
                <w:b w:val="0"/>
                <w:i w:val="0"/>
              </w:rPr>
              <w:br/>
            </w:r>
            <w:r>
              <w:rPr>
                <w:b/>
                <w:i w:val="0"/>
              </w:rPr>
              <w:t>Chiều dài</w:t>
            </w:r>
            <w:r>
              <w:rPr>
                <w:b w:val="0"/>
                <w:i w:val="0"/>
              </w:rPr>
              <w:br/>
            </w:r>
            <w:r>
              <w:rPr>
                <w:b/>
                <w:i w:val="0"/>
              </w:rPr>
              <w:t>(m)</w:t>
            </w:r>
          </w:p>
        </w:tc>
        <w:tc>
          <w:tcPr>
            <w:tcW w:type="dxa" w:w="1728"/>
          </w:tcPr>
          <w:p>
            <w:r>
              <w:rPr>
                <w:b w:val="0"/>
                <w:i w:val="0"/>
              </w:rPr>
              <w:br/>
            </w:r>
            <w:r>
              <w:rPr>
                <w:b/>
                <w:i w:val="0"/>
              </w:rPr>
              <w:t>Mặt cắt ngang quy hoạch (m)</w:t>
            </w:r>
          </w:p>
        </w:tc>
        <w:tc>
          <w:tcPr>
            <w:tcW w:type="dxa" w:w="1728"/>
          </w:tcPr>
          <w:p>
            <w:r>
              <w:rPr>
                <w:b w:val="0"/>
                <w:i w:val="0"/>
              </w:rPr>
              <w:br/>
            </w:r>
            <w:r>
              <w:rPr>
                <w:b/>
                <w:i w:val="0"/>
              </w:rPr>
              <w:t>Lộ giới</w:t>
            </w:r>
            <w:r>
              <w:rPr>
                <w:b w:val="0"/>
                <w:i w:val="0"/>
              </w:rPr>
              <w:br/>
            </w:r>
            <w:r>
              <w:rPr>
                <w:b/>
                <w:i w:val="0"/>
              </w:rPr>
              <w:t>(m)</w:t>
            </w:r>
          </w:p>
        </w:tc>
      </w:tr>
    </w:tbl>
    <w:p>
      <w:r>
        <w:rPr>
          <w:b w:val="0"/>
          <w:i/>
        </w:rPr>
        <w:t>Giao thông tĩnh:</w:t>
      </w:r>
      <w:r>
        <w:rPr>
          <w:b w:val="0"/>
          <w:i w:val="0"/>
        </w:rPr>
        <w:t xml:space="preserve"> Bố trí 3 bến xe-bãi xe thuộc các khu chức năng, tổng diện tích là 3,97 ha (Khu A :1,37ha; Khu B : 1,6 ha; Khu C1 : 1,0 ha). Các bãi xe ở tầng hầm của các công trình dịch vụ, sẽ được triển khai trong quy hoạch chi tiết tỷ lệ 1/500.</w:t>
      </w:r>
    </w:p>
    <w:p>
      <w:r>
        <w:rPr>
          <w:b w:val="0"/>
          <w:i/>
        </w:rPr>
        <w:t>Giao thông thủy:</w:t>
      </w:r>
    </w:p>
    <w:p>
      <w:r>
        <w:rPr>
          <w:b w:val="0"/>
          <w:i w:val="0"/>
        </w:rPr>
        <w:t>Kênh Xáng và kênh An Hạ có chức năng giao thông thủy, phân cấp kỹ thuật cấp V;</w:t>
      </w:r>
    </w:p>
    <w:p>
      <w:r>
        <w:rPr>
          <w:b w:val="0"/>
          <w:i w:val="0"/>
        </w:rPr>
        <w:t>Hành lang bảo vệ Kênh Xáng và kênh An 30m, các kênh rạch tiêu thoát nước khác 10m.</w:t>
      </w:r>
    </w:p>
    <w:p>
      <w:r>
        <w:rPr>
          <w:b/>
          <w:i/>
        </w:rPr>
        <w:t>7.2. Quy hoạch cao độ nền và thoát nước mặt đô thị:</w:t>
      </w:r>
    </w:p>
    <w:p>
      <w:r>
        <w:rPr>
          <w:b w:val="0"/>
          <w:i/>
        </w:rPr>
        <w:t>* Quy hoạch chiều cao</w:t>
      </w:r>
      <w:r>
        <w:rPr>
          <w:b w:val="0"/>
          <w:i w:val="0"/>
        </w:rPr>
        <w:t>:</w:t>
      </w:r>
    </w:p>
    <w:p>
      <w:r>
        <w:rPr>
          <w:b w:val="0"/>
          <w:i w:val="0"/>
        </w:rPr>
        <w:t>+ Cao độ xây dựng chọn ≥ +2,00m (hệ cao độ Hòn Dấu).</w:t>
      </w:r>
    </w:p>
    <w:p>
      <w:r>
        <w:rPr>
          <w:b w:val="0"/>
          <w:i w:val="0"/>
        </w:rPr>
        <w:t>+ Độ dốc nền thiết kế: khu công trình công cộng, khu ở ≥ 0,4%; khu công viên cây xanh ≥0,3%.</w:t>
      </w:r>
    </w:p>
    <w:p>
      <w:r>
        <w:rPr>
          <w:b w:val="0"/>
          <w:i w:val="0"/>
        </w:rPr>
        <w:t>+ Hướng đổ dốc từ giữa các tiểu khu ra xung quanh và về phía kênh rạch.</w:t>
      </w:r>
    </w:p>
    <w:p>
      <w:r>
        <w:rPr>
          <w:b w:val="0"/>
          <w:i w:val="0"/>
        </w:rPr>
        <w:t>+ Xây dựng bờ kè dọc theo các kênh quan trọng trong khu vực.</w:t>
      </w:r>
    </w:p>
    <w:p>
      <w:r>
        <w:rPr>
          <w:b w:val="0"/>
          <w:i/>
        </w:rPr>
        <w:t>* Quy hoạch thoát nước mưa:</w:t>
      </w:r>
    </w:p>
    <w:p>
      <w:r>
        <w:rPr>
          <w:b w:val="0"/>
          <w:i w:val="0"/>
        </w:rPr>
        <w:t>+ Sử dụng hệ thống cống ngầm để tổ chức thoát nước mưa.</w:t>
      </w:r>
    </w:p>
    <w:p>
      <w:r>
        <w:rPr>
          <w:b w:val="0"/>
          <w:i w:val="0"/>
        </w:rPr>
        <w:t>+ Hướng thoát: về phía các kênh rạch trong khu vực.</w:t>
      </w:r>
    </w:p>
    <w:p>
      <w:r>
        <w:rPr>
          <w:b w:val="0"/>
          <w:i w:val="0"/>
        </w:rPr>
        <w:t>+ Nối cống theo nguyên tắc ngang đỉnh, độ sâu chôn cống tối thiểu 0,70m.</w:t>
      </w:r>
    </w:p>
    <w:p>
      <w:r>
        <w:rPr>
          <w:b w:val="0"/>
          <w:i w:val="0"/>
        </w:rPr>
        <w:t>+ Cống thoát nước mưa chủ yếu bố trí dọc 2 bên các đường giao thông.</w:t>
      </w:r>
    </w:p>
    <w:p>
      <w:r>
        <w:rPr>
          <w:b/>
          <w:i/>
        </w:rPr>
        <w:t>7.3. Quy hoạch cấp năng lượng và chiếu sáng đô thị:</w:t>
      </w:r>
    </w:p>
    <w:p>
      <w:r>
        <w:rPr>
          <w:b w:val="0"/>
          <w:i w:val="0"/>
        </w:rPr>
        <w:t>+ Chỉ tiêu cấp điện sinh hoạt: 2500 KWh/người/năm.</w:t>
      </w:r>
    </w:p>
    <w:p>
      <w:r>
        <w:rPr>
          <w:b w:val="0"/>
          <w:i w:val="0"/>
        </w:rPr>
        <w:t>+ Nguồn điện được cấp từ trạm 110/15 - 22KV Viut 1,2 xây dựng mới.</w:t>
      </w:r>
    </w:p>
    <w:p>
      <w:r>
        <w:rPr>
          <w:b w:val="0"/>
          <w:i w:val="0"/>
        </w:rPr>
        <w:t>+ Xây dựng mới các trạm biến áp 15-22/0,4KV, sử dụng máy biến áp 3 pha, dung lượng ≥ 400KVA, loại trạm phòng.</w:t>
      </w:r>
    </w:p>
    <w:p>
      <w:r>
        <w:rPr>
          <w:b w:val="0"/>
          <w:i w:val="0"/>
        </w:rPr>
        <w:t>+ Xây dựng mới mạng trung và hạ thế cấp điện cho khu quy hoạch, sử dụng cáp đồng bọc cách điện XLPE, tiết diện dây phù hợp, chôn ngầm trong đất.</w:t>
      </w:r>
    </w:p>
    <w:p>
      <w:r>
        <w:rPr>
          <w:b w:val="0"/>
          <w:i w:val="0"/>
        </w:rPr>
        <w:t>+ Hệ thống chiếu sáng dùng đèn cao áp sodium 150 ÷ 250W – 220V, có chóa và cần đèn đặt trên trụ thép tráng kẽm.</w:t>
      </w:r>
    </w:p>
    <w:p>
      <w:r>
        <w:rPr>
          <w:b/>
          <w:i/>
        </w:rPr>
        <w:t>7.4. Quy hoạch cấp nước đô thị:</w:t>
      </w:r>
    </w:p>
    <w:p>
      <w:r>
        <w:rPr>
          <w:b w:val="0"/>
          <w:i w:val="0"/>
        </w:rPr>
        <w:t>+ Nguồn nước: Sử dụng nguồn nước máy thành phố dựa vào tuyến ống F450 đường MR3 kết nối vào tuyến F900 dọc kênh 7 và F600 đường Nguyễn Văn Bứa thuộc hệ thống nhà máy nước Kênh Đông.</w:t>
      </w:r>
    </w:p>
    <w:p>
      <w:r>
        <w:rPr>
          <w:b w:val="0"/>
          <w:i w:val="0"/>
        </w:rPr>
        <w:t>+ Tiêu chuẩn cấp nước sinh hoạt: - Dân cư: 180 (lít/người/ngđ)</w:t>
      </w:r>
    </w:p>
    <w:p>
      <w:r>
        <w:rPr>
          <w:b w:val="0"/>
          <w:i w:val="0"/>
        </w:rPr>
        <w:t>- Sinh viên: 150 (lít/người/ngđ)</w:t>
      </w:r>
    </w:p>
    <w:p>
      <w:r>
        <w:rPr>
          <w:b w:val="0"/>
          <w:i w:val="0"/>
        </w:rPr>
        <w:t>+ Tiêu chuẩn cấp nước chữa cháy: 25 lít/s cho 01 đám cháy, số đám cháy xảy ra đồng thời cùng lúc là 02 đám cháy theo TCVN 2622-1995.</w:t>
      </w:r>
    </w:p>
    <w:p>
      <w:r>
        <w:rPr>
          <w:b w:val="0"/>
          <w:i w:val="0"/>
        </w:rPr>
        <w:t>+ Phương án cấp nước chữa cháy: bố trí các trụ cứu hỏa trên mạng lưới cấp nước sinh hoạt và các điểm lấy nước mặt tại kênh Thầy Cai - kênh ranh Long An - kênh An Hạ và Hồ Cảnh.</w:t>
      </w:r>
    </w:p>
    <w:p>
      <w:r>
        <w:rPr>
          <w:b w:val="0"/>
          <w:i w:val="0"/>
        </w:rPr>
        <w:t>+ Phương án bố trí thiết kế mạng lưới cấp nước.</w:t>
      </w:r>
    </w:p>
    <w:p>
      <w:r>
        <w:rPr>
          <w:b/>
          <w:i/>
        </w:rPr>
        <w:t>7.5. Quy hoạch thoát nước thải và rác thải:</w:t>
      </w:r>
    </w:p>
    <w:p>
      <w:r>
        <w:rPr>
          <w:b w:val="0"/>
          <w:i/>
        </w:rPr>
        <w:t>Thoát nước thải:</w:t>
      </w:r>
    </w:p>
    <w:p>
      <w:r>
        <w:rPr>
          <w:b w:val="0"/>
          <w:i w:val="0"/>
        </w:rPr>
        <w:t>+ Giải pháp thoát nước bẩn: Sử dụng hệ thống thoát nước riêng hoàn toàn, nước thải được thu gom về trạm xử lý nước thải cục bộ công suất 43.000 m</w:t>
      </w:r>
      <w:r>
        <w:rPr>
          <w:b w:val="0"/>
          <w:i w:val="0"/>
        </w:rPr>
        <w:t>3</w:t>
      </w:r>
      <w:r>
        <w:rPr>
          <w:b w:val="0"/>
          <w:i w:val="0"/>
        </w:rPr>
        <w:t>/ngày xử lý đạt tiêu chuẩn quy định trước khi xả ra rạch.</w:t>
      </w:r>
    </w:p>
    <w:p>
      <w:r>
        <w:rPr>
          <w:b w:val="0"/>
          <w:i w:val="0"/>
        </w:rPr>
        <w:t>+ Tiêu chuẩn thoát nước sinh hoạt: - Dân cư: 180 (lít/người/ngđ)</w:t>
      </w:r>
    </w:p>
    <w:p>
      <w:r>
        <w:rPr>
          <w:b w:val="0"/>
          <w:i w:val="0"/>
        </w:rPr>
        <w:t>- Sinh viên: 150 (lít/người/ngđ)</w:t>
      </w:r>
    </w:p>
    <w:p>
      <w:r>
        <w:rPr>
          <w:b w:val="0"/>
          <w:i w:val="0"/>
        </w:rPr>
        <w:t>+ Phương án bố trí thiết kế mạng lưới thoát nước bẩn.</w:t>
      </w:r>
    </w:p>
    <w:p>
      <w:r>
        <w:rPr>
          <w:b w:val="0"/>
          <w:i w:val="0"/>
        </w:rPr>
        <w:t>- Lưu ý: Tiêu chuẩn xả thải sau khi xử lý tại trạm xử lý nước thải cục bộ đạt tiêu chuẩn cột A - QCVN 14:2008/BTNMT.</w:t>
      </w:r>
    </w:p>
    <w:p>
      <w:r>
        <w:rPr>
          <w:b w:val="0"/>
          <w:i/>
        </w:rPr>
        <w:t>Rác thải:</w:t>
      </w:r>
    </w:p>
    <w:p>
      <w:r>
        <w:rPr>
          <w:b w:val="0"/>
          <w:i w:val="0"/>
        </w:rPr>
        <w:t>+ Tiêu chuẩn rác thải sinh hoạt: 1,0 kg/người/ngày.</w:t>
      </w:r>
    </w:p>
    <w:p>
      <w:r>
        <w:rPr>
          <w:b w:val="0"/>
          <w:i w:val="0"/>
        </w:rPr>
        <w:t>+ Tổng lượng rác thải sinh hoạt: 182 tấn/ngày.</w:t>
      </w:r>
    </w:p>
    <w:p>
      <w:r>
        <w:rPr>
          <w:b w:val="0"/>
          <w:i w:val="0"/>
        </w:rPr>
        <w:t>+ Phương án thu gom và xử lý rác: rác thải được thu gom mỗi ngày và đưa đến trạm ép rác kín khu vực trước khi vận chuyển về khu xử lý rác thành phố tại xã Phước Hiệp, huyện Củ Chi.</w:t>
      </w:r>
    </w:p>
    <w:p>
      <w:r>
        <w:rPr>
          <w:b/>
          <w:i/>
        </w:rPr>
        <w:t>7.6. Bản đồ tổng hợp đường dây đường ống:</w:t>
      </w:r>
    </w:p>
    <w:p>
      <w:r>
        <w:rPr>
          <w:b w:val="0"/>
          <w:i w:val="0"/>
        </w:rPr>
        <w:t>Các tuyến cống thoát nước mưa, thoát nước thải, cấp nước, tuyến dây cáp điện ngầm bố trí trên vỉa hè dọc theo các trục giao thông trong khu quy hoạch.</w:t>
      </w:r>
    </w:p>
    <w:p>
      <w:r>
        <w:rPr>
          <w:b w:val="0"/>
          <w:i w:val="0"/>
        </w:rPr>
        <w:t>Việc bố trí, sắp xếp đường dây đường ống có thể thay đổi trong các dự án triển khai thiết kế kỹ thuật nhưng vẫn phải đảm bảo theo quy định.</w:t>
      </w:r>
    </w:p>
    <w:p>
      <w:r>
        <w:rPr>
          <w:b/>
          <w:i w:val="0"/>
        </w:rPr>
        <w:t>Điều 2.</w:t>
      </w:r>
      <w:r>
        <w:rPr>
          <w:b/>
          <w:i w:val="0"/>
        </w:rPr>
        <w:t xml:space="preserve"> </w:t>
      </w:r>
      <w:r>
        <w:rPr>
          <w:b w:val="0"/>
          <w:i w:val="0"/>
        </w:rPr>
        <w:t>Trên cơ sở quy hoạch chi tiết xây dựng tỷ lệ 1/2000 được duyệt, Ban Quản lý Khu đô thị Tây Bắc Thành phố, Ủy ban nhân dân huyện Hóc Môn, Công ty TNHH một thành viên Đô thị Đại học quốc tế Berjaya Việt Nam chịu trách nhiệm công bố công khai quy hoạch tại Ủy ban nhân dân huyện chậm nhất sau 30 ngày, kể từ ngày ký Quyết định này, đồng thời thông báo kịp thời cho nhân dân và các đơn vị kinh tế - xã hội có liên quan trên địa bàn về nội dung quy hoạch cùng các văn bản liên quan khác để thực hiện quản lý tốt việc sử dụng quỹ đất và quản lý xây dựng theo quy hoạch.</w:t>
      </w:r>
    </w:p>
    <w:p>
      <w:r>
        <w:rPr>
          <w:b w:val="0"/>
          <w:i w:val="0"/>
        </w:rPr>
        <w:t>Ban Quản lý Khu đô thị Tây Bắc phối hợp Ủy ban nhân dân huyện Hóc Môn chịu trách nhiệm tổ chức bồi thường, hỗ trợ, giải phóng mặt bằng và chuẩn bị các phương án tái định cư cho nhân dân trong khu vực quy hoạch.</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Giáo dục và Đào tạo, Viện trưởng Viện Nghiên cứu phát triển, Trưởng Ban Quản lý Khu đô thị Tây Bắc thành phố, Chủ tịch Ủy ban nhân dân huyện Hóc Môn, Công ty TNHH một thành viên Đô thị Đại học quốc tế Berjaya Việt Nam và Thủ trưởng các Sở,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rPr>
              <w:t>(đã ký)</w:t>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