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192/NQ-HĐND17 V/v sửa đổi, bổ sung Nghị quyết số 79/2013/NQ-HĐND17 của HĐND tỉnh về thực hiện Chương trình “Sữa học đường” trong các trường mầm non trên địa bàn tỉnh Bắc Ninh giai đoạn 2013 – 2017</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192/NQ-HĐND17</w:t>
      </w:r>
      <w:r>
        <w:rPr>
          <w:b w:val="0"/>
          <w:i w:val="0"/>
        </w:rPr>
        <w:br/>
      </w:r>
      <w:r>
        <w:rPr>
          <w:b w:val="0"/>
          <w:i w:val="0"/>
        </w:rPr>
        <w:br/>
      </w:r>
      <w:r>
        <w:rPr>
          <w:b w:val="0"/>
          <w:i/>
        </w:rPr>
        <w:br/>
      </w:r>
      <w:r>
        <w:rPr>
          <w:b w:val="0"/>
          <w:i/>
        </w:rPr>
        <w:t>Bắc Ninh, ngày 29 tháng 7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192/NQ-HĐND17</w:t>
      </w:r>
      <w:r>
        <w:rPr>
          <w:b w:val="0"/>
          <w:i w:val="0"/>
        </w:rPr>
        <w:br/>
      </w:r>
      <w:r>
        <w:rPr>
          <w:b w:val="0"/>
          <w:i w:val="0"/>
        </w:rPr>
        <w:br/>
      </w:r>
      <w:r>
        <w:rPr>
          <w:b w:val="0"/>
          <w:i/>
        </w:rPr>
        <w:br/>
      </w:r>
      <w:r>
        <w:rPr>
          <w:b w:val="0"/>
          <w:i/>
        </w:rPr>
        <w:t>Bắc Ninh, ngày 29 tháng 7 năm 2015</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192/NQ-HĐND17</w:t>
      </w:r>
      <w:r>
        <w:rPr>
          <w:b w:val="0"/>
          <w:i w:val="0"/>
        </w:rPr>
        <w:br/>
      </w:r>
      <w:r>
        <w:rPr>
          <w:b w:val="0"/>
          <w:i w:val="0"/>
        </w:rPr>
        <w:br/>
      </w:r>
      <w:r>
        <w:rPr>
          <w:b w:val="0"/>
          <w:i/>
        </w:rPr>
        <w:br/>
      </w:r>
      <w:r>
        <w:rPr>
          <w:b w:val="0"/>
          <w:i/>
        </w:rPr>
        <w:t>Bắc Ninh, ngày 29 tháng 7 năm 2015</w:t>
      </w:r>
      <w:r>
        <w:rPr>
          <w:b w:val="0"/>
          <w:i/>
        </w:rPr>
        <w:br/>
      </w:r>
      <w:r>
        <w:rPr>
          <w:b w:val="0"/>
          <w:i w:val="0"/>
        </w:rPr>
        <w:br/>
      </w:r>
    </w:p>
    <w:p>
      <w:pPr>
        <w:jc w:val="center"/>
      </w:pPr>
      <w:r>
        <w:rPr>
          <w:b w:val="0"/>
          <w:i w:val="0"/>
        </w:rPr>
        <w:br/>
      </w:r>
      <w:r>
        <w:rPr>
          <w:b w:val="0"/>
          <w:i w:val="0"/>
        </w:rPr>
        <w:t>Số: 192/NQ-HĐND17</w:t>
      </w:r>
      <w:r>
        <w:rPr>
          <w:b w:val="0"/>
          <w:i w:val="0"/>
        </w:rPr>
        <w:br/>
      </w:r>
    </w:p>
    <w:p>
      <w:pPr>
        <w:jc w:val="center"/>
      </w:pPr>
      <w:r>
        <w:rPr>
          <w:b w:val="0"/>
          <w:i w:val="0"/>
        </w:rPr>
        <w:br/>
      </w:r>
      <w:r>
        <w:rPr>
          <w:b w:val="0"/>
          <w:i w:val="0"/>
        </w:rPr>
        <w:t>Bắc Ninh, ngày 29 tháng 7 năm 2015</w:t>
      </w:r>
      <w:r>
        <w:rPr>
          <w:b w:val="0"/>
          <w:i w:val="0"/>
        </w:rPr>
        <w:br/>
      </w:r>
    </w:p>
    <w:p>
      <w:r>
        <w:rPr>
          <w:b/>
          <w:i w:val="0"/>
        </w:rPr>
        <w:t>NGHỊ QUYẾT</w:t>
      </w:r>
    </w:p>
    <w:p>
      <w:r>
        <w:rPr>
          <w:b/>
          <w:i w:val="0"/>
        </w:rPr>
        <w:t xml:space="preserve">V/v sửa đổi, bổ sung Nghị quyết số 79/2013/NQ-HĐND17 của HĐND tỉnh </w:t>
      </w:r>
    </w:p>
    <w:p>
      <w:r>
        <w:rPr>
          <w:b/>
          <w:i w:val="0"/>
        </w:rPr>
        <w:t xml:space="preserve">về thực hiện Chương trình “Sữa học đường” trong các trường mầm non </w:t>
      </w:r>
    </w:p>
    <w:p>
      <w:r>
        <w:rPr>
          <w:b/>
          <w:i w:val="0"/>
        </w:rPr>
        <w:t>trên địa bàn tỉnh Bắc Ninh giai đoạn 2013 – 2017</w:t>
      </w:r>
    </w:p>
    <w:p>
      <w:r>
        <w:rPr>
          <w:b/>
          <w:i w:val="0"/>
        </w:rPr>
        <w:t>HỘI ĐỒNG NHÂN DÂN TỈNH BẮC NINH</w:t>
      </w:r>
    </w:p>
    <w:p>
      <w:r>
        <w:rPr>
          <w:b/>
          <w:i w:val="0"/>
        </w:rPr>
        <w:t>KHÓA XVII, KỲ HỌP THỨ 15</w:t>
      </w:r>
    </w:p>
    <w:p>
      <w:r>
        <w:rPr>
          <w:b w:val="0"/>
          <w:i w:val="0"/>
        </w:rPr>
        <w:t>Căn cứ Luật Tổ chức HĐND và UBND năm 2013;</w:t>
      </w:r>
    </w:p>
    <w:p>
      <w:r>
        <w:rPr>
          <w:b w:val="0"/>
          <w:i w:val="0"/>
        </w:rPr>
        <w:t>Căn cứ Luật Ngân sách Nhà nước năm 2002;</w:t>
      </w:r>
    </w:p>
    <w:p>
      <w:r>
        <w:rPr>
          <w:b w:val="0"/>
          <w:i w:val="0"/>
        </w:rPr>
        <w:t>Căn cứ Luật Bảo vệ, chăm sóc và giáo dục trẻ em năm 2004;</w:t>
      </w:r>
    </w:p>
    <w:p>
      <w:r>
        <w:rPr>
          <w:b w:val="0"/>
          <w:i w:val="0"/>
        </w:rPr>
        <w:t>Căn cứ Quyết định số 149/2006/QĐ-TTg ngày 23/6/2006 của Thủ tướng Chính phủ về việc phê duyệt Đề án “Phát triển giáo dục mầm non giai đoạn 2006 - 2015;</w:t>
      </w:r>
    </w:p>
    <w:p>
      <w:r>
        <w:rPr>
          <w:b w:val="0"/>
          <w:i w:val="0"/>
        </w:rPr>
        <w:t>Căn cứ Quyết định số 641/QĐ-TTg ngày 28/4/2011 của Thủ tướng Chính phủ về việc phê duyệt Đề án tổng thể phát triển thể lực, tầm vóc người Việt Nam giai đoạn 2011 - 2030;</w:t>
      </w:r>
    </w:p>
    <w:p>
      <w:r>
        <w:rPr>
          <w:b w:val="0"/>
          <w:i w:val="0"/>
        </w:rPr>
        <w:t>Sau khi xem xét Tờ trình số 146/TTr-UBND ngày 14/7/2015 của UBND tỉnh đề nghị “Về việc sửa đổi, bổ sung Khoản 2 Điều 1 Nghị quyết số 79/2013/NQ-HĐND17 ngày 23/4/2013 của HĐND tỉnh về thực hiện Chương trình Sữa học đường trong các trường mầm non trên địa bàn tỉnh”; báo cáo thẩm tra của Ban Văn hóa - Xã hội và ý kiến thảo luận của đại biểu,</w:t>
      </w:r>
    </w:p>
    <w:p>
      <w:r>
        <w:rPr>
          <w:b/>
          <w:i w:val="0"/>
        </w:rPr>
        <w:t>QUYẾT NGHỊ:</w:t>
      </w:r>
    </w:p>
    <w:p>
      <w:r>
        <w:rPr>
          <w:b/>
          <w:i w:val="0"/>
        </w:rPr>
        <w:t>Điều 1.</w:t>
      </w:r>
      <w:r>
        <w:rPr>
          <w:b w:val="0"/>
          <w:i w:val="0"/>
        </w:rPr>
        <w:t xml:space="preserve"> Sửa đổi, bổ sung Khoản 2, Điều 1 Nghị quyết số 79/2013/NQ-HĐND17 ngày 23/4/2013, cụ thể như sau:</w:t>
      </w:r>
    </w:p>
    <w:p>
      <w:r>
        <w:rPr>
          <w:b w:val="0"/>
          <w:i w:val="0"/>
        </w:rPr>
        <w:t>1. Về đối tượng và thời gian thụ hưởng:</w:t>
      </w:r>
    </w:p>
    <w:p>
      <w:r>
        <w:rPr>
          <w:b w:val="0"/>
          <w:i w:val="0"/>
        </w:rPr>
        <w:t>- Trẻ em từ 6 tháng tuổi đến dưới 6 tuổi đang học trong các trường mầm non và các cơ sở giáo dục mầm non có số lượng trẻ ổn định từ 50 trẻ trở lên (đã được cấp phép hoạt động) trên địa bàn tỉnh Bắc Ninh.</w:t>
      </w:r>
    </w:p>
    <w:p>
      <w:r>
        <w:rPr>
          <w:b w:val="0"/>
          <w:i w:val="0"/>
        </w:rPr>
        <w:t>2. Thời gian thụ hưởng trong năm và định mức sử dụng:</w:t>
      </w:r>
    </w:p>
    <w:p>
      <w:r>
        <w:rPr>
          <w:b w:val="0"/>
          <w:i w:val="0"/>
        </w:rPr>
        <w:t>- Trẻ được uống sữa trong thời gian 9 tháng (một năm học);</w:t>
      </w:r>
    </w:p>
    <w:p>
      <w:r>
        <w:rPr>
          <w:b w:val="0"/>
          <w:i w:val="0"/>
        </w:rPr>
        <w:t>- Mỗi trẻ được uống 3 lần/tuần, mỗi lần uống 180 ml.</w:t>
      </w:r>
    </w:p>
    <w:p>
      <w:r>
        <w:rPr>
          <w:b w:val="0"/>
          <w:i w:val="0"/>
        </w:rPr>
        <w:t>- Đối với trẻ có cơ địa dị ứng với sữa (không uống được sữa từ Chương trình “Sữa học đường”, chỉ uống được một loại sữa chuyên dụng, đặc thù) sẽ có hợp đồng riêng với gia đình.</w:t>
      </w:r>
    </w:p>
    <w:p>
      <w:r>
        <w:rPr>
          <w:b w:val="0"/>
          <w:i w:val="0"/>
        </w:rPr>
        <w:t>- Đối với trẻ khuyết tật, trẻ thuộc hộ gia đình diện đối tượng chính sách (thương binh, liệt sỹ, người có công) và hộ gia đình khó khăn, nghèo, cận nghèo được hỗ trợ từ nguồn ngân sách nhà nước tỉnh (bằng 75% giá trị/hộp sữa trẻ được uống trong Chương trình “Sữa học đường”), được áp dụng từ năm học 2014-2015.</w:t>
      </w:r>
    </w:p>
    <w:p>
      <w:r>
        <w:rPr>
          <w:b w:val="0"/>
          <w:i w:val="0"/>
        </w:rPr>
        <w:t>3. Loại sữa sử dụng: Sữa Vinamilk, do Công ty cổ phần Sữa Việt Nam (Vinamilk) cung cấp.</w:t>
      </w:r>
    </w:p>
    <w:p>
      <w:r>
        <w:rPr>
          <w:b/>
          <w:i w:val="0"/>
        </w:rPr>
        <w:t xml:space="preserve">Điều 2. </w:t>
      </w:r>
      <w:r>
        <w:rPr>
          <w:b w:val="0"/>
          <w:i w:val="0"/>
        </w:rPr>
        <w:t>UBND tỉnh có trách nhiệm hướng dẫn, tổ chức thực hiện Nghị quyết. Hàng năm báo cáo kết quả thực hiện tại kỳ họp thường kỳ cuối năm của HĐND tỉnh.</w:t>
      </w:r>
    </w:p>
    <w:p>
      <w:r>
        <w:rPr>
          <w:b/>
          <w:i w:val="0"/>
        </w:rPr>
        <w:t xml:space="preserve">Điều 3. </w:t>
      </w:r>
      <w:r>
        <w:rPr>
          <w:b w:val="0"/>
          <w:i w:val="0"/>
        </w:rPr>
        <w:t>Nghị quyết này có hiệu lực thi hành sau 10 ngày kể từ ngày ký.</w:t>
      </w:r>
    </w:p>
    <w:p>
      <w:r>
        <w:rPr>
          <w:b w:val="0"/>
          <w:i w:val="0"/>
        </w:rPr>
        <w:t xml:space="preserve">Thường trực HĐND, các Ban của HĐND, các Tổ đại biểu và đại biểu HĐND tỉnh có trách nhiệm đôn đốc, giám sát, kiểm tra việc thực hiện Nghị quyết này. </w:t>
      </w:r>
    </w:p>
    <w:p>
      <w:r>
        <w:rPr>
          <w:b w:val="0"/>
          <w:i w:val="0"/>
        </w:rPr>
        <w:t>Nghị quyết được HĐND tỉnh khóa XVII, kỳ họp thứ 15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VPQH, VPCP, Bộ TP, Bộ GD-ĐT, Bộ TC (b/c);</w:t>
            </w:r>
            <w:r>
              <w:rPr>
                <w:b w:val="0"/>
                <w:i w:val="0"/>
              </w:rPr>
              <w:br/>
            </w:r>
            <w:r>
              <w:rPr>
                <w:b w:val="0"/>
                <w:i w:val="0"/>
              </w:rPr>
              <w:t>- TT Tỉnh ủy (b/c);</w:t>
            </w:r>
            <w:r>
              <w:rPr>
                <w:b w:val="0"/>
                <w:i w:val="0"/>
              </w:rPr>
              <w:br/>
            </w:r>
            <w:r>
              <w:rPr>
                <w:b w:val="0"/>
                <w:i w:val="0"/>
              </w:rPr>
              <w:t>- TT HĐND, UBND, UBMTTQ tỉnh;</w:t>
            </w:r>
            <w:r>
              <w:rPr>
                <w:b w:val="0"/>
                <w:i w:val="0"/>
              </w:rPr>
              <w:br/>
            </w:r>
            <w:r>
              <w:rPr>
                <w:b w:val="0"/>
                <w:i w:val="0"/>
              </w:rPr>
              <w:t>- Đoàn Đại biểu Quốc hội tỉnh;</w:t>
            </w:r>
            <w:r>
              <w:rPr>
                <w:b w:val="0"/>
                <w:i w:val="0"/>
              </w:rPr>
              <w:br/>
            </w:r>
            <w:r>
              <w:rPr>
                <w:b w:val="0"/>
                <w:i w:val="0"/>
              </w:rPr>
              <w:t>- VKSND, TAND tỉnh;</w:t>
            </w:r>
            <w:r>
              <w:rPr>
                <w:b w:val="0"/>
                <w:i w:val="0"/>
              </w:rPr>
              <w:br/>
            </w:r>
            <w:r>
              <w:rPr>
                <w:b w:val="0"/>
                <w:i w:val="0"/>
              </w:rPr>
              <w:t>- VP TU, VP UBND tỉnh;</w:t>
            </w:r>
            <w:r>
              <w:rPr>
                <w:b w:val="0"/>
                <w:i w:val="0"/>
              </w:rPr>
              <w:br/>
            </w:r>
            <w:r>
              <w:rPr>
                <w:b w:val="0"/>
                <w:i w:val="0"/>
              </w:rPr>
              <w:t>- Các sở, ban, ngành, đoàn thể của tỉnh;</w:t>
            </w:r>
            <w:r>
              <w:rPr>
                <w:b w:val="0"/>
                <w:i w:val="0"/>
              </w:rPr>
              <w:br/>
            </w:r>
            <w:r>
              <w:rPr>
                <w:b w:val="0"/>
                <w:i w:val="0"/>
              </w:rPr>
              <w:t>- Các cơ quan TW đóng trên địa bàn tỉnh;</w:t>
            </w:r>
            <w:r>
              <w:rPr>
                <w:b w:val="0"/>
                <w:i w:val="0"/>
              </w:rPr>
              <w:br/>
            </w:r>
            <w:r>
              <w:rPr>
                <w:b w:val="0"/>
                <w:i w:val="0"/>
              </w:rPr>
              <w:t>- Các Huyện ủy, Thị ủy, Thành ủy;</w:t>
            </w:r>
            <w:r>
              <w:rPr>
                <w:b w:val="0"/>
                <w:i w:val="0"/>
              </w:rPr>
              <w:br/>
            </w:r>
            <w:r>
              <w:rPr>
                <w:b w:val="0"/>
                <w:i w:val="0"/>
              </w:rPr>
              <w:t>- TTHĐND, UBND các huyện, thị xã, thành phố;</w:t>
            </w:r>
            <w:r>
              <w:rPr>
                <w:b w:val="0"/>
                <w:i w:val="0"/>
              </w:rPr>
              <w:br/>
            </w:r>
            <w:r>
              <w:rPr>
                <w:b w:val="0"/>
                <w:i w:val="0"/>
              </w:rPr>
              <w:t>- Các Ban HĐND tỉnh, các Đại biểu HĐND tỉnh;</w:t>
            </w:r>
            <w:r>
              <w:rPr>
                <w:b w:val="0"/>
                <w:i w:val="0"/>
              </w:rPr>
              <w:br/>
            </w:r>
            <w:r>
              <w:rPr>
                <w:b w:val="0"/>
                <w:i w:val="0"/>
              </w:rPr>
              <w:t>- Công báo tỉnh; Báo BN, Đài PTTH tỉnh,</w:t>
            </w:r>
            <w:r>
              <w:rPr>
                <w:b w:val="0"/>
                <w:i w:val="0"/>
              </w:rPr>
              <w:br/>
            </w:r>
            <w:r>
              <w:rPr>
                <w:b w:val="0"/>
                <w:i w:val="0"/>
              </w:rPr>
              <w:t xml:space="preserve">  TTXVN tại Bắc Ninh; Cổng TTĐT tỉnh;</w:t>
            </w:r>
            <w:r>
              <w:rPr>
                <w:b w:val="0"/>
                <w:i w:val="0"/>
              </w:rPr>
              <w:br/>
            </w:r>
            <w:r>
              <w:rPr>
                <w:b w:val="0"/>
                <w:i w:val="0"/>
              </w:rPr>
              <w:t>- VP: LĐVP, các phòng CM,  lưuVT.</w:t>
            </w:r>
          </w:p>
        </w:tc>
        <w:tc>
          <w:tcPr>
            <w:tcW w:type="dxa" w:w="4320"/>
          </w:tcPr>
          <w:p>
            <w:r>
              <w:rPr>
                <w:b w:val="0"/>
                <w:i w:val="0"/>
              </w:rPr>
              <w:br/>
            </w:r>
            <w:r>
              <w:rPr>
                <w:b w:val="0"/>
                <w:i w:val="0"/>
              </w:rPr>
              <w:br/>
            </w:r>
            <w:r>
              <w:rPr>
                <w:b/>
                <w:i w:val="0"/>
              </w:rPr>
              <w:br/>
            </w:r>
            <w:r>
              <w:rPr>
                <w:b/>
                <w:i w:val="0"/>
              </w:rPr>
              <w:t>CHỦ TỊCH</w:t>
            </w:r>
            <w:r>
              <w:rPr>
                <w:b/>
                <w:i w:val="0"/>
              </w:rPr>
              <w:br/>
            </w:r>
            <w:r>
              <w:rPr>
                <w:b w:val="0"/>
                <w:i w:val="0"/>
              </w:rPr>
              <w:br/>
            </w:r>
            <w:r>
              <w:rPr>
                <w:b w:val="0"/>
                <w:i w:val="0"/>
              </w:rPr>
              <w:br/>
            </w:r>
            <w:r>
              <w:rPr>
                <w:b/>
                <w:i w:val="0"/>
              </w:rPr>
              <w:br/>
            </w:r>
            <w:r>
              <w:rPr>
                <w:b/>
                <w:i w:val="0"/>
              </w:rPr>
              <w:t>Nguyễn Nhân Chiến</w:t>
            </w:r>
            <w:r>
              <w:rPr>
                <w:b/>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