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1933/1998/QĐ-UB V/v áp dụng tạm thời định mức chuyên ngành công tác vệ sinh và thoát nước đô thị trên địa bàn thành phố Đà Nẵng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1933/1998/QĐ-UB</w:t>
      </w:r>
      <w:r>
        <w:rPr>
          <w:b w:val="0"/>
          <w:i w:val="0"/>
        </w:rPr>
        <w:br/>
      </w:r>
      <w:r>
        <w:rPr>
          <w:b w:val="0"/>
          <w:i w:val="0"/>
        </w:rPr>
        <w:br/>
      </w:r>
      <w:r>
        <w:rPr>
          <w:b w:val="0"/>
          <w:i/>
        </w:rPr>
        <w:br/>
      </w:r>
      <w:r>
        <w:rPr>
          <w:b w:val="0"/>
          <w:i/>
        </w:rPr>
        <w:t>Đà Nẵng, ngày 17 tháng 4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1933/1998/QĐ-UB</w:t>
      </w:r>
      <w:r>
        <w:rPr>
          <w:b w:val="0"/>
          <w:i w:val="0"/>
        </w:rPr>
        <w:br/>
      </w:r>
      <w:r>
        <w:rPr>
          <w:b w:val="0"/>
          <w:i w:val="0"/>
        </w:rPr>
        <w:br/>
      </w:r>
      <w:r>
        <w:rPr>
          <w:b w:val="0"/>
          <w:i/>
        </w:rPr>
        <w:br/>
      </w:r>
      <w:r>
        <w:rPr>
          <w:b w:val="0"/>
          <w:i/>
        </w:rPr>
        <w:t>Đà Nẵng, ngày 17 tháng 4 năm 1998</w:t>
      </w:r>
      <w:r>
        <w:rPr>
          <w:b w:val="0"/>
          <w:i/>
        </w:rPr>
        <w:br/>
      </w:r>
      <w:r>
        <w:rPr>
          <w:b w:val="0"/>
          <w:i w:val="0"/>
        </w:rPr>
        <w:br/>
      </w:r>
    </w:p>
    <w:p>
      <w:pPr>
        <w:jc w:val="center"/>
      </w:pPr>
      <w:r>
        <w:rPr>
          <w:b w:val="0"/>
          <w:i w:val="0"/>
        </w:rPr>
        <w:br/>
      </w:r>
      <w:r>
        <w:rPr>
          <w:b w:val="0"/>
          <w:i w:val="0"/>
        </w:rPr>
        <w:t>Số: 1933/1998/QĐ-UB</w:t>
      </w:r>
      <w:r>
        <w:rPr>
          <w:b w:val="0"/>
          <w:i w:val="0"/>
        </w:rPr>
        <w:br/>
      </w:r>
    </w:p>
    <w:p>
      <w:pPr>
        <w:jc w:val="center"/>
      </w:pPr>
      <w:r>
        <w:rPr>
          <w:b w:val="0"/>
          <w:i w:val="0"/>
        </w:rPr>
        <w:br/>
      </w:r>
      <w:r>
        <w:rPr>
          <w:b w:val="0"/>
          <w:i w:val="0"/>
        </w:rPr>
        <w:t>Đà Nẵng, ngày 17 tháng 4 năm 1998</w:t>
      </w:r>
      <w:r>
        <w:rPr>
          <w:b w:val="0"/>
          <w:i w:val="0"/>
        </w:rPr>
        <w:br/>
      </w:r>
    </w:p>
    <w:p>
      <w:r>
        <w:rPr>
          <w:b/>
          <w:i w:val="0"/>
        </w:rPr>
        <w:t>QUYẾT ĐỊNH CỦA UBND TP ĐÀ NẴNG</w:t>
      </w:r>
    </w:p>
    <w:p>
      <w:r>
        <w:rPr>
          <w:b/>
          <w:i w:val="0"/>
        </w:rPr>
        <w:t>V/v áp dụng tạm thời định mức chuyên ngành</w:t>
      </w:r>
      <w:r>
        <w:rPr>
          <w:b w:val="0"/>
          <w:i w:val="0"/>
        </w:rPr>
        <w:t xml:space="preserve"> </w:t>
      </w:r>
      <w:r>
        <w:rPr>
          <w:b/>
          <w:i w:val="0"/>
        </w:rPr>
        <w:t xml:space="preserve">công tác vệ sinh và thoát </w:t>
      </w:r>
    </w:p>
    <w:p>
      <w:r>
        <w:rPr>
          <w:b/>
          <w:i w:val="0"/>
        </w:rPr>
        <w:t xml:space="preserve">nước </w:t>
      </w:r>
      <w:r>
        <w:rPr>
          <w:b/>
          <w:i w:val="0"/>
        </w:rPr>
        <w:t>đ</w:t>
      </w:r>
      <w:r>
        <w:rPr>
          <w:b/>
          <w:i w:val="0"/>
        </w:rPr>
        <w:t>ô thị trên địa bàn</w:t>
      </w:r>
      <w:r>
        <w:rPr>
          <w:b w:val="0"/>
          <w:i w:val="0"/>
        </w:rPr>
        <w:t xml:space="preserve"> </w:t>
      </w:r>
      <w:r>
        <w:rPr>
          <w:b/>
          <w:i w:val="0"/>
        </w:rPr>
        <w:t>thành phố Đà Nẵng</w:t>
      </w:r>
    </w:p>
    <w:p>
      <w:r>
        <w:rPr>
          <w:b w:val="0"/>
          <w:i w:val="0"/>
        </w:rPr>
        <w:t>________________________</w:t>
      </w:r>
    </w:p>
    <w:p>
      <w:r>
        <w:rPr>
          <w:b/>
          <w:i w:val="0"/>
        </w:rPr>
        <w:t>ỦY BAN NHÂN DÂN THÀNH PHỐ ĐÀ NẴNG</w:t>
      </w:r>
    </w:p>
    <w:p>
      <w:r>
        <w:rPr>
          <w:b w:val="0"/>
          <w:i w:val="0"/>
        </w:rPr>
        <w:t>- Căn cứ Luật Tổ chức HĐND và UBND ngày 21 tháng 6 năm 1994;</w:t>
      </w:r>
    </w:p>
    <w:p>
      <w:r>
        <w:rPr>
          <w:b w:val="0"/>
          <w:i w:val="0"/>
        </w:rPr>
        <w:t>- Căn cứ định mức chuyên ngành về công tác vệ sinh và thoát nước đô thị của Bộ Xây dựng cho phép áp dụng tại thành phố Hà Nội;</w:t>
      </w:r>
    </w:p>
    <w:p>
      <w:r>
        <w:rPr>
          <w:b w:val="0"/>
          <w:i w:val="0"/>
        </w:rPr>
        <w:t>- Thực hiện Công văn số 1307/BXD-VKT ngày 23/10/1997 của Bộ Xây dựng về việc áp dụng định mức chuyên ngành công tác công viên cây xanh, vệ sinh và thoát nước đô thị;</w:t>
      </w:r>
    </w:p>
    <w:p>
      <w:r>
        <w:rPr>
          <w:b w:val="0"/>
          <w:i w:val="0"/>
        </w:rPr>
        <w:t>- Theo đề nghị của Giám đốc Sở Giao thông công chính thành phố Đà Nẵng,</w:t>
      </w:r>
    </w:p>
    <w:p>
      <w:r>
        <w:rPr>
          <w:b/>
          <w:i w:val="0"/>
        </w:rPr>
        <w:t>QUYẾT ĐỊNH</w:t>
      </w:r>
    </w:p>
    <w:p>
      <w:r>
        <w:rPr>
          <w:b/>
          <w:i w:val="0"/>
        </w:rPr>
        <w:t xml:space="preserve">Điều 1: </w:t>
      </w:r>
      <w:r>
        <w:rPr>
          <w:b w:val="0"/>
          <w:i w:val="0"/>
        </w:rPr>
        <w:t>Trong khi chờ Bộ Xây dựng ban hành định mức áp dụng chung cho cả nước, nay tạm thời áp dụng định mức chuyên ngành công tác vệ sinh và thoát nước đô thị trên cơ sở định mức của Bộ Xây dựng ban hành cho thành phố Hà Nội (định mức công tác vệ sinh ban hành kèm theo Quyết định số 142/BXD-VKT ngày 14/6/1995, định mức công tác thoát nước ban hành kèm theo Quyết định số 26/BXD-VKT ngày 25/1/1995) trên địa bàn thành phố Đà Nẵng:</w:t>
      </w:r>
    </w:p>
    <w:p>
      <w:r>
        <w:rPr>
          <w:b w:val="0"/>
          <w:i w:val="0"/>
        </w:rPr>
        <w:t>+ Định mức công tác vệ sinh có 5 phần gồm:</w:t>
      </w:r>
    </w:p>
    <w:p>
      <w:r>
        <w:rPr>
          <w:b w:val="0"/>
          <w:i w:val="0"/>
        </w:rPr>
        <w:t>- Thuyết minh và hướng dẫn áp dụng.</w:t>
      </w:r>
    </w:p>
    <w:p>
      <w:r>
        <w:rPr>
          <w:b w:val="0"/>
          <w:i w:val="0"/>
        </w:rPr>
        <w:t>- Công tác vệ sinh đô thị.</w:t>
      </w:r>
    </w:p>
    <w:p>
      <w:r>
        <w:rPr>
          <w:b w:val="0"/>
          <w:i w:val="0"/>
        </w:rPr>
        <w:t>- Công tác sửa chữa và cải tạo nhà vệ sinh công cộng.</w:t>
      </w:r>
    </w:p>
    <w:p>
      <w:r>
        <w:rPr>
          <w:b w:val="0"/>
          <w:i w:val="0"/>
        </w:rPr>
        <w:t>- Phụ lục về hao phí dụng cụ lao động cho công tác vệ sinh đô thị.</w:t>
      </w:r>
    </w:p>
    <w:p>
      <w:r>
        <w:rPr>
          <w:b w:val="0"/>
          <w:i w:val="0"/>
        </w:rPr>
        <w:t>- Phụ lục định mức nhiên liệu cho công tác vệ sinh đô thị.</w:t>
      </w:r>
    </w:p>
    <w:p>
      <w:r>
        <w:rPr>
          <w:b w:val="0"/>
          <w:i w:val="0"/>
        </w:rPr>
        <w:t>+ Định mức công tác thoát nước đô thị có 3 phần gồm:</w:t>
      </w:r>
    </w:p>
    <w:p>
      <w:r>
        <w:rPr>
          <w:b w:val="0"/>
          <w:i w:val="0"/>
        </w:rPr>
        <w:t>- Thuyết minh và hướng dẫn áp dụng.</w:t>
      </w:r>
    </w:p>
    <w:p>
      <w:r>
        <w:rPr>
          <w:b w:val="0"/>
          <w:i w:val="0"/>
        </w:rPr>
        <w:t>- Công tác nạo vét cống, mương, sông.</w:t>
      </w:r>
    </w:p>
    <w:p>
      <w:r>
        <w:rPr>
          <w:b w:val="0"/>
          <w:i w:val="0"/>
        </w:rPr>
        <w:t>- Công tác duy trì, kiểm tra, quản lý công, mương, sông.</w:t>
      </w:r>
    </w:p>
    <w:p>
      <w:r>
        <w:rPr>
          <w:b/>
          <w:i w:val="0"/>
        </w:rPr>
        <w:t xml:space="preserve">Điều 2: </w:t>
      </w:r>
      <w:r>
        <w:rPr>
          <w:b w:val="0"/>
          <w:i w:val="0"/>
        </w:rPr>
        <w:t>Giám đốc Sở Giao thông công chính có trách nhiệm phối hợp với Sở Lao động-Thương binh &amp; Xã hội, Sở Tài chính-Vật giá, Sở Kế hoạch và đầu tư, các ngành liên quan chỉ đạo Công ty Môi trường đô thị, Trung tâm quản lý thoát nước triển khai áp dụng định mức trên để lập kế hoạch, dự toán và quyết toán cho công tác vệ sinh và thoát nước đô thị trên địa bàn thành phố Đà Nẵng.</w:t>
      </w:r>
    </w:p>
    <w:p>
      <w:r>
        <w:rPr>
          <w:b/>
          <w:i w:val="0"/>
        </w:rPr>
        <w:t xml:space="preserve">Điều 3: </w:t>
      </w:r>
      <w:r>
        <w:rPr>
          <w:b w:val="0"/>
          <w:i w:val="0"/>
        </w:rPr>
        <w:t>Định mức tại điều 1 được áp dụng ngoài nguồn vốn sự nghiệp UBND thành phố ĐN giao cho Công ty Môi trường đô thị, Trung tâm Quản lý thoát nước và được thực hiện kể từ ngày 15/4/1998 cho đến khi có văn bản mới của Bộ xây dựng.</w:t>
      </w:r>
    </w:p>
    <w:p>
      <w:r>
        <w:rPr>
          <w:b/>
          <w:i w:val="0"/>
        </w:rPr>
        <w:t xml:space="preserve">Điều 4: </w:t>
      </w:r>
      <w:r>
        <w:rPr>
          <w:b w:val="0"/>
          <w:i w:val="0"/>
        </w:rPr>
        <w:t>Chánh Văn phòng UBND thành phố, Giám đốc Sở Giao thông công chính, Sở Tài chính-Vật giá, Sở Kế hoạch và đầu tư, Sở Lao động Thương binh &amp; Xã hội, Công ty Môi trường đô thị, Trung tâm Quản lý thoát nước và các ngành liên quan chịu trách nhiệm thi hành quyết định này.</w:t>
      </w:r>
    </w:p>
    <w:p>
      <w:r>
        <w:rPr>
          <w:b w:val="0"/>
          <w:i w:val="0"/>
        </w:rPr>
        <w:br/>
      </w:r>
      <w:r>
        <w:rPr>
          <w:b/>
          <w:i w:val="0"/>
        </w:rPr>
        <w:br/>
      </w:r>
      <w:r>
        <w:rPr>
          <w:b/>
          <w:i w:val="0"/>
        </w:rPr>
        <w:br/>
      </w:r>
      <w:r>
        <w:rPr>
          <w:b/>
          <w:i w:val="0"/>
        </w:rPr>
        <w:t>TM. ỦY BAN NHÂN DÂN</w:t>
      </w:r>
      <w:r>
        <w:rPr>
          <w:b/>
          <w:i w:val="0"/>
        </w:rPr>
        <w:br/>
      </w:r>
      <w:r>
        <w:rPr>
          <w:b/>
          <w:i w:val="0"/>
        </w:rPr>
        <w:br/>
      </w:r>
      <w:r>
        <w:rPr>
          <w:b/>
          <w:i w:val="0"/>
        </w:rPr>
        <w:br/>
      </w:r>
      <w:r>
        <w:rPr>
          <w:b/>
          <w:i w:val="0"/>
        </w:rPr>
        <w:t xml:space="preserve">thành phố đà nẵng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Bá Thanh</w:t>
      </w:r>
      <w:r>
        <w:rPr>
          <w:b/>
          <w:i w:val="0"/>
        </w:rPr>
        <w:br/>
      </w:r>
      <w:r>
        <w:rPr>
          <w:b/>
          <w:i w:val="0"/>
        </w:rPr>
        <w:br/>
      </w:r>
      <w:r>
        <w:rPr>
          <w:b w:val="0"/>
          <w:i w:val="0"/>
        </w:rPr>
        <w:br/>
      </w:r>
    </w:p>
    <w:p>
      <w:pPr>
        <w:jc w:val="center"/>
      </w:pPr>
      <w:r>
        <w:rPr>
          <w:b w:val="0"/>
          <w:i w:val="0"/>
        </w:rPr>
        <w:br/>
      </w:r>
      <w:r>
        <w:rPr>
          <w:b/>
          <w:i w:val="0"/>
        </w:rPr>
        <w:br/>
      </w:r>
      <w:r>
        <w:rPr>
          <w:b/>
          <w:i w:val="0"/>
        </w:rPr>
        <w:t>TM. ỦY BAN NHÂN DÂN</w:t>
      </w:r>
      <w:r>
        <w:rPr>
          <w:b/>
          <w:i w:val="0"/>
        </w:rPr>
        <w:br/>
      </w:r>
      <w:r>
        <w:rPr>
          <w:b w:val="0"/>
          <w:i w:val="0"/>
        </w:rPr>
        <w:br/>
      </w:r>
      <w:r>
        <w:rPr>
          <w:b/>
          <w:i w:val="0"/>
        </w:rPr>
        <w:br/>
      </w:r>
      <w:r>
        <w:rPr>
          <w:b/>
          <w:i w:val="0"/>
        </w:rPr>
        <w:t xml:space="preserve">thành phố đà nẵng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Bá Thanh</w:t>
      </w:r>
      <w:r>
        <w:rPr>
          <w:b/>
          <w:i w:val="0"/>
        </w:rPr>
        <w:br/>
      </w:r>
      <w:r>
        <w:rPr>
          <w:b w:val="0"/>
          <w:i w:val="0"/>
        </w:rPr>
        <w:br/>
      </w:r>
    </w:p>
    <w:p>
      <w:r>
        <w:rPr>
          <w:b w:val="0"/>
          <w:i w:val="0"/>
        </w:rPr>
        <w:br/>
      </w:r>
      <w:r>
        <w:rPr>
          <w:b w:val="0"/>
          <w:i w:val="0"/>
        </w:rPr>
        <w:t>TM. ỦY BAN NHÂN DÂN</w:t>
      </w:r>
      <w:r>
        <w:rPr>
          <w:b w:val="0"/>
          <w:i w:val="0"/>
        </w:rPr>
        <w:br/>
      </w:r>
    </w:p>
    <w:p>
      <w:r>
        <w:rPr>
          <w:b w:val="0"/>
          <w:i w:val="0"/>
        </w:rPr>
        <w:br/>
      </w:r>
      <w:r>
        <w:rPr>
          <w:b w:val="0"/>
          <w:i w:val="0"/>
        </w:rPr>
        <w:t xml:space="preserve">thành phố đà nẵng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Bá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