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193/2003/QĐ-TTg Về việc bổ sung Phương án tổng thể sắp xếp, đổi mới doanh nghiệpnhà nước trực thuộc Trung tâm Khoa học tự nhiên và Công nghệ Quốc gia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193/2003/QĐ-TTg</w:t>
      </w:r>
      <w:r>
        <w:rPr>
          <w:b w:val="0"/>
          <w:i w:val="0"/>
        </w:rPr>
        <w:br/>
      </w:r>
      <w:r>
        <w:rPr>
          <w:b w:val="0"/>
          <w:i w:val="0"/>
        </w:rPr>
        <w:br/>
      </w:r>
      <w:r>
        <w:rPr>
          <w:b w:val="0"/>
          <w:i/>
        </w:rPr>
        <w:br/>
      </w:r>
      <w:r>
        <w:rPr>
          <w:b w:val="0"/>
          <w:i/>
        </w:rPr>
        <w:t>Hà Nội, ngày 17 tháng 9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193/2003/QĐ-TTg</w:t>
      </w:r>
      <w:r>
        <w:rPr>
          <w:b w:val="0"/>
          <w:i w:val="0"/>
        </w:rPr>
        <w:br/>
      </w:r>
      <w:r>
        <w:rPr>
          <w:b w:val="0"/>
          <w:i w:val="0"/>
        </w:rPr>
        <w:br/>
      </w:r>
      <w:r>
        <w:rPr>
          <w:b w:val="0"/>
          <w:i/>
        </w:rPr>
        <w:br/>
      </w:r>
      <w:r>
        <w:rPr>
          <w:b w:val="0"/>
          <w:i/>
        </w:rPr>
        <w:t>Hà Nội, ngày 17 tháng 9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br/>
      </w:r>
      <w:r>
        <w:rPr>
          <w:b w:val="0"/>
          <w:i w:val="0"/>
        </w:rPr>
        <w:t>Số: 193/2003/QĐ-TTg</w:t>
      </w:r>
      <w:r>
        <w:rPr>
          <w:b w:val="0"/>
          <w:i w:val="0"/>
        </w:rPr>
        <w:br/>
      </w:r>
      <w:r>
        <w:rPr>
          <w:b w:val="0"/>
          <w:i w:val="0"/>
        </w:rPr>
        <w:br/>
      </w:r>
      <w:r>
        <w:rPr>
          <w:b w:val="0"/>
          <w:i/>
        </w:rPr>
        <w:br/>
      </w:r>
      <w:r>
        <w:rPr>
          <w:b w:val="0"/>
          <w:i/>
        </w:rPr>
        <w:t>Hà Nội, ngày 17 tháng 9 năm 2003</w:t>
      </w:r>
      <w:r>
        <w:rPr>
          <w:b w:val="0"/>
          <w:i/>
        </w:rPr>
        <w:br/>
      </w:r>
      <w:r>
        <w:rPr>
          <w:b w:val="0"/>
          <w:i w:val="0"/>
        </w:rPr>
        <w:br/>
      </w:r>
    </w:p>
    <w:p>
      <w:pPr>
        <w:jc w:val="center"/>
      </w:pPr>
      <w:r>
        <w:rPr>
          <w:b w:val="0"/>
          <w:i w:val="0"/>
        </w:rPr>
        <w:br/>
      </w:r>
      <w:r>
        <w:rPr>
          <w:b w:val="0"/>
          <w:i w:val="0"/>
        </w:rPr>
        <w:t>Số: 193/2003/QĐ-TTg</w:t>
      </w:r>
      <w:r>
        <w:rPr>
          <w:b w:val="0"/>
          <w:i w:val="0"/>
        </w:rPr>
        <w:br/>
      </w:r>
    </w:p>
    <w:p>
      <w:pPr>
        <w:jc w:val="center"/>
      </w:pPr>
      <w:r>
        <w:rPr>
          <w:b w:val="0"/>
          <w:i w:val="0"/>
        </w:rPr>
        <w:br/>
      </w:r>
      <w:r>
        <w:rPr>
          <w:b w:val="0"/>
          <w:i w:val="0"/>
        </w:rPr>
        <w:t>Hà Nội, ngày 17 tháng 9 năm 2003</w:t>
      </w:r>
      <w:r>
        <w:rPr>
          <w:b w:val="0"/>
          <w:i w:val="0"/>
        </w:rPr>
        <w:br/>
      </w:r>
    </w:p>
    <w:p>
      <w:r>
        <w:rPr>
          <w:b/>
          <w:i w:val="0"/>
        </w:rPr>
        <w:t xml:space="preserve">QUYẾT ĐỊNH </w:t>
      </w:r>
    </w:p>
    <w:p>
      <w:r>
        <w:rPr>
          <w:b/>
          <w:i w:val="0"/>
        </w:rPr>
        <w:t xml:space="preserve">Về việc bổ sung Phương án tổng thể sắp xếp, đổi mới doanh nghiệp </w:t>
      </w:r>
    </w:p>
    <w:p>
      <w:r>
        <w:rPr>
          <w:b/>
          <w:i w:val="0"/>
        </w:rPr>
        <w:t>n</w:t>
      </w:r>
      <w:r>
        <w:rPr>
          <w:b/>
          <w:i w:val="0"/>
        </w:rPr>
        <w:t>hà nước trực thuộc</w:t>
      </w:r>
      <w:r>
        <w:rPr>
          <w:b w:val="0"/>
          <w:i w:val="0"/>
        </w:rPr>
        <w:t xml:space="preserve"> </w:t>
      </w:r>
      <w:r>
        <w:rPr>
          <w:b/>
          <w:i w:val="0"/>
        </w:rPr>
        <w:t xml:space="preserve">Trung tâm Khoa học tự nhiên và Công nghệ Quốc gia </w:t>
      </w:r>
    </w:p>
    <w:p>
      <w:r>
        <w:rPr>
          <w:b/>
          <w:i w:val="0"/>
        </w:rPr>
        <w:t>giai đoạn 2003 - 2005</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việc tiếp tục đẩy mạnh sắp xếp, đổi mới phát triển và nâng cao hiệu quả doanh nghiệp nhà nước;</w:t>
      </w:r>
    </w:p>
    <w:p>
      <w:r>
        <w:rPr>
          <w:b w:val="0"/>
          <w:i/>
        </w:rPr>
        <w:t>Xét đề nghị của Trung tâm Khoa học tự nhiên và Công nghệ Quốc gia,</w:t>
      </w:r>
    </w:p>
    <w:p>
      <w:r>
        <w:rPr>
          <w:b/>
          <w:i w:val="0"/>
        </w:rPr>
        <w:t>QUYẾT ĐỊNH:</w:t>
      </w:r>
    </w:p>
    <w:p>
      <w:r>
        <w:rPr>
          <w:b/>
          <w:i w:val="0"/>
        </w:rPr>
        <w:t xml:space="preserve">Điều 1. </w:t>
      </w:r>
      <w:r>
        <w:rPr>
          <w:b w:val="0"/>
          <w:i w:val="0"/>
        </w:rPr>
        <w:t>Giữ nguyên Tổng công ty ứng dụng Công nghệ mới và Du lịch (NEWTATCO) là Tổng công ty nhà nước, hoạt động kinh doanh thuộc Trung tâm Khoa học tự nhiên và Công nghệ Quốc gia (giai đoạn 2003-2005).</w:t>
      </w:r>
    </w:p>
    <w:p>
      <w:r>
        <w:rPr>
          <w:b/>
          <w:i w:val="0"/>
        </w:rPr>
        <w:t xml:space="preserve">Điều 2. </w:t>
      </w:r>
      <w:r>
        <w:rPr>
          <w:b w:val="0"/>
          <w:i w:val="0"/>
        </w:rPr>
        <w:t>Quyết định này có hiệu lực sau 15 ngày, kể từ ngày đăng Công báo.</w:t>
      </w:r>
    </w:p>
    <w:p>
      <w:r>
        <w:rPr>
          <w:b w:val="0"/>
          <w:i w:val="0"/>
        </w:rPr>
        <w:t>Giám đốc Trung tâm Khoa học tự nhiên và Công nghệ Quốc gia, Hội đồng quản trị Tổng công ty ứng dụng Công nghệ mới và Du lịch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