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198/2012/TT-BTC Chế độ kế toán áp dụng đối với Quỹ mở</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198/2012/TT-BTC</w:t>
        <w:br/>
        <w:t xml:space="preserve">     </w:t>
      </w:r>
      <w:r>
        <w:rPr>
          <w:b w:val="0"/>
          <w:i w:val="0"/>
        </w:rPr>
        <w:br/>
      </w:r>
      <w:r>
        <w:rPr>
          <w:b w:val="0"/>
          <w:i/>
        </w:rPr>
        <w:br/>
        <w:t xml:space="preserve">      Hà Nội, ngày 15 tháng 11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198/2012/TT-BTC</w:t>
        <w:br/>
        <w:t xml:space="preserve">     </w:t>
      </w:r>
      <w:r>
        <w:rPr>
          <w:b w:val="0"/>
          <w:i w:val="0"/>
        </w:rPr>
        <w:br/>
      </w:r>
      <w:r>
        <w:rPr>
          <w:b w:val="0"/>
          <w:i/>
        </w:rPr>
        <w:br/>
        <w:t xml:space="preserve">      Hà Nội, ngày 15 tháng 11 năm 2012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198/2012/TT-BTC</w:t>
        <w:br/>
        <w:t xml:space="preserve">     </w:t>
      </w:r>
      <w:r>
        <w:rPr>
          <w:b w:val="0"/>
          <w:i w:val="0"/>
        </w:rPr>
        <w:br/>
      </w:r>
      <w:r>
        <w:rPr>
          <w:b w:val="0"/>
          <w:i/>
        </w:rPr>
        <w:br/>
        <w:t xml:space="preserve">      Hà Nội, ngày 15 tháng 11 năm 2012</w:t>
        <w:br/>
        <w:t xml:space="preserve">     </w:t>
      </w:r>
      <w:r>
        <w:rPr>
          <w:b w:val="0"/>
          <w:i w:val="0"/>
        </w:rPr>
        <w:br/>
      </w:r>
    </w:p>
    <w:p>
      <w:pPr>
        <w:jc w:val="center"/>
      </w:pPr>
      <w:r>
        <w:rPr>
          <w:b w:val="0"/>
          <w:i w:val="0"/>
        </w:rPr>
        <w:br/>
        <w:t xml:space="preserve">      Số: 198/2012/TT-BTC</w:t>
        <w:br/>
        <w:t xml:space="preserve">     </w:t>
      </w:r>
    </w:p>
    <w:p>
      <w:pPr>
        <w:jc w:val="center"/>
      </w:pPr>
      <w:r>
        <w:rPr>
          <w:b w:val="0"/>
          <w:i w:val="0"/>
        </w:rPr>
        <w:br/>
        <w:t xml:space="preserve">      Hà Nội, ngày 15 tháng 11 năm 2012</w:t>
        <w:br/>
        <w:t xml:space="preserve">     </w:t>
      </w:r>
    </w:p>
    <w:p>
      <w:r>
        <w:rPr>
          <w:b/>
          <w:i w:val="0"/>
        </w:rPr>
        <w:t>THÔNG TƯ</w:t>
      </w:r>
    </w:p>
    <w:p>
      <w:r>
        <w:rPr>
          <w:b/>
          <w:i w:val="0"/>
        </w:rPr>
        <w:t>Chế độ kế toán áp dụng đối với Quỹ mở</w:t>
      </w:r>
    </w:p>
    <w:p>
      <w:r>
        <w:rPr>
          <w:b w:val="0"/>
          <w:i w:val="0"/>
        </w:rPr>
        <w:t>_________________</w:t>
      </w:r>
    </w:p>
    <w:p>
      <w:pPr>
        <w:jc w:val="both"/>
      </w:pPr>
      <w:r>
        <w:rPr>
          <w:b w:val="0"/>
          <w:i/>
        </w:rPr>
        <w:t>Căn cứ Luật Kế toán số 03/2003/QH11 ngày 17/6/2003;</w:t>
      </w:r>
    </w:p>
    <w:p>
      <w:pPr>
        <w:jc w:val="both"/>
      </w:pPr>
      <w:r>
        <w:rPr>
          <w:b w:val="0"/>
          <w:i/>
        </w:rPr>
        <w:t>Căn cứ Nghị định số 128/2004/NĐ-CP ngày 31/5/2004 của Chính phủ về việc Quy định chi tiết và hướng dẫn thi hành một số điều của Luật Kế toán trong lĩnh vực Nhà nước và Nghị định số 129/2004/NĐ-CP ngày 31/5/2004 của Chính phủ về việc Quy định chi tiết và hướng dẫn thi hành một số điều của Luật Kế toán trong hoạt động kinh doanh;</w:t>
      </w:r>
    </w:p>
    <w:p>
      <w:pPr>
        <w:jc w:val="both"/>
      </w:pPr>
      <w:r>
        <w:rPr>
          <w:b w:val="0"/>
          <w:i/>
        </w:rPr>
        <w:t>Căn cứ Luật Chứng khoán số 70/2006/QH11 ngày 29/6/2006 và Luật Sửa đổi, bổ sung một số điều của Luật Chứng khoán số 70/2006/QH11 ngày 29/6/2006 số 62/2010/QH12 ngày 24/11/2010;</w:t>
      </w:r>
    </w:p>
    <w:p>
      <w:pPr>
        <w:jc w:val="both"/>
      </w:pPr>
      <w:r>
        <w:rPr>
          <w:b w:val="0"/>
          <w:i/>
        </w:rPr>
        <w:t>Căn cứ Nghị định số 58/2012/NĐ-CP ngày 20/7/2012 Quy định chi tiết và hướng dẫn thi hành một số điều của Luật Chứng khoán và Luật sửa đổi, bổ sung một số điều của Luật Chứng khoán;</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 xml:space="preserve">Theo đề nghị của Vụ trưởng Vụ Chế độ kế toán và Kiểm toán, </w:t>
      </w:r>
    </w:p>
    <w:p>
      <w:pPr>
        <w:jc w:val="both"/>
      </w:pPr>
      <w:r>
        <w:rPr>
          <w:b w:val="0"/>
          <w:i/>
        </w:rPr>
        <w:t>Bộ trưởng Bộ Tài chính ban hành Thông tư Chế độ kế toán áp dụng đối với Quỹ mở.</w:t>
      </w:r>
    </w:p>
    <w:p>
      <w:pPr>
        <w:jc w:val="both"/>
      </w:pPr>
      <w:r>
        <w:rPr>
          <w:b/>
          <w:i w:val="0"/>
        </w:rPr>
        <w:t xml:space="preserve">Điều 1. </w:t>
      </w:r>
      <w:r>
        <w:rPr>
          <w:b w:val="0"/>
          <w:i w:val="0"/>
        </w:rPr>
        <w:t>Ban hành kèm theo Thông tư này Chế độ kế toán áp dụng đối với Quỹ mở gồm 4 phần:</w:t>
      </w:r>
    </w:p>
    <w:p>
      <w:pPr>
        <w:jc w:val="both"/>
      </w:pPr>
      <w:r>
        <w:rPr>
          <w:b w:val="0"/>
          <w:i w:val="0"/>
        </w:rPr>
        <w:t>Phần thứ nhất: Chế độ chứng từ kế toán;</w:t>
      </w:r>
    </w:p>
    <w:p>
      <w:pPr>
        <w:jc w:val="both"/>
      </w:pPr>
      <w:r>
        <w:rPr>
          <w:b w:val="0"/>
          <w:i w:val="0"/>
        </w:rPr>
        <w:t>Phần thứ hai: Hệ thống tài khoản kế toán;</w:t>
      </w:r>
    </w:p>
    <w:p>
      <w:pPr>
        <w:jc w:val="both"/>
      </w:pPr>
      <w:r>
        <w:rPr>
          <w:b w:val="0"/>
          <w:i w:val="0"/>
        </w:rPr>
        <w:t>Phần thứ ba: Chế độ sổ kế toán;</w:t>
      </w:r>
    </w:p>
    <w:p>
      <w:pPr>
        <w:jc w:val="both"/>
      </w:pPr>
      <w:r>
        <w:rPr>
          <w:b w:val="0"/>
          <w:i w:val="0"/>
        </w:rPr>
        <w:t>Phần thứ tư: Hệ thống Báo cáo tài chính.</w:t>
      </w:r>
    </w:p>
    <w:p>
      <w:pPr>
        <w:jc w:val="both"/>
      </w:pPr>
      <w:r>
        <w:rPr>
          <w:b/>
          <w:i w:val="0"/>
        </w:rPr>
        <w:t>Điều 2.</w:t>
      </w:r>
      <w:r>
        <w:rPr>
          <w:b w:val="0"/>
          <w:i w:val="0"/>
        </w:rPr>
        <w:t xml:space="preserve"> </w:t>
      </w:r>
      <w:r>
        <w:rPr>
          <w:b/>
          <w:i w:val="0"/>
        </w:rPr>
        <w:t>Phạm vi điều chỉnh</w:t>
      </w:r>
    </w:p>
    <w:p>
      <w:pPr>
        <w:jc w:val="both"/>
      </w:pPr>
      <w:r>
        <w:rPr>
          <w:b w:val="0"/>
          <w:i w:val="0"/>
        </w:rPr>
        <w:t>Thông tư này quy định các nội dung liên quan đến chứng từ kế toán, tài khoản kế toán và phương pháp kế toán, sổ kế toán, mẫu Báo cáo tài chính, phương pháp lập và trình bày Báo cáo tài chính áp dụng đối với Quỹ mở thành lập và hoạt động theo quy định của pháp luật chứng khoán.</w:t>
      </w:r>
    </w:p>
    <w:p>
      <w:pPr>
        <w:jc w:val="both"/>
      </w:pPr>
      <w:r>
        <w:rPr>
          <w:b/>
          <w:i w:val="0"/>
        </w:rPr>
        <w:t>Điều 3. Đối tượng áp dụng</w:t>
      </w:r>
    </w:p>
    <w:p>
      <w:pPr>
        <w:jc w:val="both"/>
      </w:pPr>
      <w:r>
        <w:rPr>
          <w:b w:val="0"/>
          <w:i w:val="0"/>
        </w:rPr>
        <w:t>Thông tư này áp dụng đối với Công ty Quản lý Quỹ, Ngân hàng Giám sát và các tổ chức, cá nhân có liên quan tới hoạt động của Quỹ mở.</w:t>
      </w:r>
    </w:p>
    <w:p>
      <w:pPr>
        <w:jc w:val="both"/>
      </w:pPr>
      <w:r>
        <w:rPr>
          <w:b/>
          <w:i w:val="0"/>
        </w:rPr>
        <w:t>Điều 4. Nguyên tắc kế toán và phương pháp kế toán áp dụng đối với kế toán hoạt động của Quỹ mở</w:t>
      </w:r>
    </w:p>
    <w:p>
      <w:pPr>
        <w:jc w:val="both"/>
      </w:pPr>
      <w:r>
        <w:rPr>
          <w:b w:val="0"/>
          <w:i w:val="0"/>
        </w:rPr>
        <w:t>Quỹ mở tuân thủ các nguyên tắc kế toán và phương pháp kế toán quy định tại các Chuẩn mực kế toán Việt Nam có liên quan và các quy định cụ thể của Chế độ kế toán này.</w:t>
      </w:r>
    </w:p>
    <w:p>
      <w:pPr>
        <w:jc w:val="both"/>
      </w:pPr>
      <w:r>
        <w:rPr>
          <w:b/>
          <w:i w:val="0"/>
        </w:rPr>
        <w:t>Điều 5. Hiệu lực thi hành</w:t>
      </w:r>
    </w:p>
    <w:p>
      <w:pPr>
        <w:jc w:val="both"/>
      </w:pPr>
      <w:r>
        <w:rPr>
          <w:b w:val="0"/>
          <w:i w:val="0"/>
        </w:rPr>
        <w:t>Thông tư này có hiệu lực kể từ ngày 01/01/2013.</w:t>
      </w:r>
    </w:p>
    <w:p>
      <w:pPr>
        <w:jc w:val="both"/>
      </w:pPr>
      <w:r>
        <w:rPr>
          <w:b/>
          <w:i w:val="0"/>
        </w:rPr>
        <w:t>Điều 6. Tổ chức thực hiện</w:t>
      </w:r>
    </w:p>
    <w:p>
      <w:pPr>
        <w:jc w:val="both"/>
      </w:pPr>
      <w:r>
        <w:rPr>
          <w:b w:val="0"/>
          <w:i w:val="0"/>
        </w:rPr>
        <w:t>1. Vụ Trưởng Vụ Chế độ kế toán và Kiểm toán, Chủ tịch Ủy ban Chứng khoán Nhà nước, Tổng Giám đốc, Giám đốc các Công ty Quản lý Quỹ và thủ trưởng các đơn vị liên quan chịu trách nhiệm triển khai, thực hiện Thông tư này.</w:t>
      </w:r>
    </w:p>
    <w:p>
      <w:pPr>
        <w:jc w:val="both"/>
      </w:pPr>
      <w:r>
        <w:rPr>
          <w:b w:val="0"/>
          <w:i w:val="0"/>
        </w:rPr>
        <w:t>2. Trong quá trình thực hiện Thông tư, nếu có khó khăn vướng mắc, đề nghị các đơn vị phản ánh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