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19/1997/CT-UB Về việc triển khai công tác đổi mới quản lý tiền lương, thu nhập trong các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LÂM</w:t>
            </w:r>
            <w:r>
              <w:rPr>
                <w:b w:val="0"/>
                <w:i w:val="0"/>
              </w:rPr>
              <w:br/>
            </w:r>
            <w:r>
              <w:rPr>
                <w:b/>
                <w:i w:val="0"/>
              </w:rPr>
              <w:t>ĐỒNG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 CỦA UỶ BAN NHÂN DÂN TỈNH LÂM ĐỒNG</w:t>
      </w:r>
    </w:p>
    <w:p>
      <w:pPr>
        <w:jc w:val="center"/>
      </w:pPr>
      <w:r>
        <w:rPr>
          <w:b/>
          <w:i/>
        </w:rPr>
        <w:t>V/v triển khai công tác đổi mới quản lý tiền lương,</w:t>
      </w:r>
      <w:r>
        <w:br/>
      </w:r>
      <w:r>
        <w:rPr>
          <w:b/>
          <w:i/>
        </w:rPr>
        <w:br/>
        <w:t xml:space="preserve">       thu nhập trong các doanh nghiệp Nhà nước</w:t>
      </w:r>
      <w:r>
        <w:br/>
      </w:r>
      <w:r>
        <w:rPr>
          <w:b/>
          <w:i/>
        </w:rPr>
        <w:br/>
        <w:t xml:space="preserve">       __________</w:t>
      </w:r>
    </w:p>
    <w:p>
      <w:pPr>
        <w:jc w:val="both"/>
      </w:pPr>
      <w:r>
        <w:rPr>
          <w:b/>
          <w:i/>
        </w:rPr>
        <w:t xml:space="preserve"> </w:t>
      </w:r>
      <w:r>
        <w:rPr>
          <w:b w:val="0"/>
          <w:i w:val="0"/>
        </w:rPr>
        <w:t>Triển khai thực hiện Nghị định 28/CP ngày 28/3/1997 của Chính phủ về đổi mới quản lý tiền lương, thu nhập trong các doanh nghiệp Nhà nước (sau đây gọi tắt là DNNN) và các Thông tư hướng dẫn thi hành nhằm từng bước đưa công tác quản lý tiền lương thu nhập của người lao động và cán bộ quản lý ở các DNNN đi vào nề nếp. Đồng thời tăng cường vai trò chủ động cho giám đốc doanh nghiệp trong việc phân phối tiền lương, tiền thưởng góp phần khuyến khích tăng năng suất lao động và nâng cao hiệu quả sản xuất kinh doanh của doanh nghiệp, từng bước bảo đảm cho người lao động có thu nhập tương xứng với năng suất, chất lượng lao động của mình đồng thời khắc phục sự chênh lệch bất hợp lý về thu nhập giữa các doanh nghiệp, Uỷ ban Nhân dân tỉnh yêu cầu các đơn vị, các sở, ban, ngành thực hiện một số công việc sau đây :</w:t>
      </w:r>
    </w:p>
    <w:p>
      <w:pPr>
        <w:jc w:val="both"/>
      </w:pPr>
      <w:r>
        <w:rPr>
          <w:b w:val="0"/>
          <w:i w:val="0"/>
        </w:rPr>
        <w:t>1/ Giám đốc các doanh nghiệp Nhà nước, các Công ty cổ phần có trên 50% vốn Nhà nước và các tổ chức, đơn vị được phép hoạt động sản xuất kinh doanh thuộc các cơ quan hành chính, Đảng, đoàn thể thuộc địa phương quản lý, khẩn trương tổ chức triển khai thực hiện Nghị định 28/CP ngày 28/3/1997 của Chính phủ và các Thông tư hướng dẫn của Liên Bộ về đổi mới quản lý tiền lương, tiền thưởng trong phạm vi doanh nghiệp mình.</w:t>
      </w:r>
    </w:p>
    <w:p>
      <w:pPr>
        <w:jc w:val="both"/>
      </w:pPr>
      <w:r>
        <w:rPr>
          <w:b w:val="0"/>
          <w:i w:val="0"/>
        </w:rPr>
        <w:t>- Đổi mới quản lý tiền lương, tiền thưởng phải được tiến hành đồng thời với việc đào tạo nâng cao tay nghề tổ chức sắp xếp lại lao động, định biên lao động và xây dựng các định mức lao động hợp lý cho từng nguyên công, từng công đoạn và cho từng sản phẩm, trên cơ sở khai thác có hiệu quả các phương tiện máy móc thiết bị sản xuất kinh doanh nhằm nâng cao năng suất lao động và đóng góp cho Ngân sách Nhà nước.</w:t>
      </w:r>
    </w:p>
    <w:p>
      <w:pPr>
        <w:jc w:val="both"/>
      </w:pPr>
      <w:r>
        <w:rPr>
          <w:b w:val="0"/>
          <w:i w:val="0"/>
        </w:rPr>
        <w:t>- Bố trí đủ cán bộ có năng lực, có trình độ chuyên môn chuyên trách về công tác lao động tiền lương ở cơ sở nhằm giúp giám đốc doanh nghiệp thực hiện tốt công tác quản lý lao động tiền lương để công tác lao động tiền lương thực sự là đòn bẩy khuyến khích phát triển sản xuất nâng cao năng suất lao động. Đồng thời tham mưu tốt cho việc chấp hành luật pháp lao động tại cơ sở.</w:t>
      </w:r>
    </w:p>
    <w:p>
      <w:pPr>
        <w:jc w:val="both"/>
      </w:pPr>
      <w:r>
        <w:rPr>
          <w:b w:val="0"/>
          <w:i w:val="0"/>
        </w:rPr>
        <w:t>- Trong tổ chức triển khai, trước hết phải kiểm tra, rà soát và đánh giá rút ra kinh nghiệm về việc thực hiện Bộ Luật lao động tại đơn vị mình. Kịp thời chấn chỉnh những mặt thiếu sót, khuyết nhược điểm để đảm bảo cho Bộ Luật lao động thực hiện tốt.</w:t>
      </w:r>
    </w:p>
    <w:p>
      <w:pPr>
        <w:jc w:val="both"/>
      </w:pPr>
      <w:r>
        <w:rPr>
          <w:b w:val="0"/>
          <w:i w:val="0"/>
        </w:rPr>
        <w:t>2/ Trên cơ sở đơn giá tiền lương được cơ quan chức năng phê duyệt trong năm. Giám đốc các DNNN phối hợp với đại diện công đoàn cùng cấp để xây dựng quy chế trả lương, phân phối tiền thưởng tại đơn vị. Tiến hành thực hiện việc ghi chép sổ lương theo các khoản mục qui định trong mẫu sổ lương do Nhà nước thống nhất ban hành.</w:t>
      </w:r>
    </w:p>
    <w:p>
      <w:pPr>
        <w:jc w:val="both"/>
      </w:pPr>
      <w:r>
        <w:rPr>
          <w:b w:val="0"/>
          <w:i w:val="0"/>
        </w:rPr>
        <w:t>- Hàng năm các DNNN phải hoàn thành việc xây dựng, đăng ký định mức lao động - đơn giá tiền lương - qui chế trả lương và phân phối tiền thưởng trong quý I. Riêng năm 1997 phải hoàn tất trong quý III.</w:t>
      </w:r>
    </w:p>
    <w:p>
      <w:pPr>
        <w:jc w:val="both"/>
      </w:pPr>
      <w:r>
        <w:rPr>
          <w:b w:val="0"/>
          <w:i w:val="0"/>
        </w:rPr>
        <w:t>3/ Các cơ quan quản lý chuyên ngành có trách nhiệm chỉ đạo, hướng dẫn và thống nhất định mức lao động ở các doanh nghiệp Nhà nước.</w:t>
      </w:r>
    </w:p>
    <w:p>
      <w:pPr>
        <w:jc w:val="both"/>
      </w:pPr>
      <w:r>
        <w:rPr>
          <w:b w:val="0"/>
          <w:i w:val="0"/>
        </w:rPr>
        <w:t>4/ Sở Lao động Thương binh và Xã hội có trách nhiệm xem xét, thẩm tra và công nhận định mức lao động, qui chế trả lương - phân phối tiền thưởng cho các DNNN, chủ trì phối hợp với Cục Quản lý vốn và Tài sản tại các doanh nghiệp Nhà nước và các ngành có liên quan để xét duyệt đơn giá tiền lương hàng năm cho các DNNN. Chịu trách nhiệm tổng hợp báo cáo tình hình thực hiện cho các cơ quan Trung ương và UBND tỉnh.</w:t>
      </w:r>
    </w:p>
    <w:p>
      <w:pPr>
        <w:jc w:val="both"/>
      </w:pPr>
      <w:r>
        <w:rPr>
          <w:b w:val="0"/>
          <w:i w:val="0"/>
        </w:rPr>
        <w:t>5/ Sở Lao động Thương binh và Xã hội phối hợp với Cục Quản lý vốn và Tài sản tại các doanh nghiệp Nhà nước và các ngành có liên quan tổ chức tập huấn, hướng dẫn cho các DNNN do địa phương quản lý nắm vững các nội dung của Nghị định 28/CP và các Thông tư hướng dẫn thi hành Nghị định. Thường xuyên kiểm tra, hướng dẫn và quản lý việc triển khai của các DNNN - uốn nắn kịp thời các vi phạm về pháp luật lao động của Chính phủ và chỉ thị này.</w:t>
      </w:r>
    </w:p>
    <w:p>
      <w:pPr>
        <w:jc w:val="both"/>
      </w:pPr>
      <w:r>
        <w:rPr>
          <w:b w:val="0"/>
          <w:i w:val="0"/>
        </w:rPr>
        <w:t>Trong quá trình thực hiện có khó khăn vướng mắc các đơn vị, các sở, ban, ngành cần báo cáo kịp thời về UBND tỉnh để xem xét chỉ đạo./.</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Trương Thành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