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19/2000/QĐ-BCN Về việc chuyển Xí nghiệp Điện dân dụng thuộc Nhà máy  Cơ khí Cẩm Phả của Tổng Công ty Than Việt Nam về Tổng Công ty Điện lực Việt Nam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tc>
      </w:tr>
    </w:tbl>
    <w:p>
      <w:r>
        <w:rPr>
          <w:b/>
          <w:i w:val="0"/>
        </w:rPr>
        <w:t xml:space="preserve">QUYẾT ĐỊNH </w:t>
      </w:r>
    </w:p>
    <w:p>
      <w:r>
        <w:rPr>
          <w:b/>
          <w:i w:val="0"/>
        </w:rPr>
        <w:t xml:space="preserve">Về việc chuyển Xí nghiệp Điện dân dụng thuộc Nhà máy Cơ khí Cẩm Phả </w:t>
      </w:r>
      <w:r>
        <w:rPr>
          <w:b/>
          <w:i w:val="0"/>
        </w:rPr>
        <w:t xml:space="preserve">của </w:t>
      </w:r>
    </w:p>
    <w:p>
      <w:r>
        <w:rPr>
          <w:b/>
          <w:i w:val="0"/>
        </w:rPr>
        <w:t>Tổng Công ty Than Việt Nam về Tổng Công ty Điện lực Việt Nam quản lý</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 CV/HĐQT ngày 17 tháng 11 năm 1999) và Vụ trưởng Vụ Tổ chức - Cán bộ,</w:t>
      </w:r>
    </w:p>
    <w:p>
      <w:r>
        <w:rPr>
          <w:b/>
          <w:i w:val="0"/>
        </w:rPr>
        <w:t>QUYẾT ĐỊNH:</w:t>
      </w:r>
    </w:p>
    <w:p>
      <w:r>
        <w:rPr>
          <w:b/>
          <w:i w:val="0"/>
        </w:rPr>
        <w:t xml:space="preserve">Điều 1. </w:t>
      </w:r>
      <w:r>
        <w:rPr>
          <w:b w:val="0"/>
          <w:i w:val="0"/>
        </w:rPr>
        <w:t>Chuyển giao nguyên trạng Xí nghiệp Điện dân dụng thuộc Nhà máy Cơ khí Cẩm Phả của Tổng Công ty Than Việt Nam về Tổng Công ty Điện lực Việt Nam quản lý.</w:t>
      </w:r>
    </w:p>
    <w:p>
      <w:r>
        <w:rPr>
          <w:b w:val="0"/>
          <w:i w:val="0"/>
        </w:rPr>
        <w:t>-Trụ sở của Nhà máy đặt tại : Phường Cẩm Tây, thị xã Cẩm Phả, tỉnh Quảng Ninh.</w:t>
      </w:r>
    </w:p>
    <w:p>
      <w:r>
        <w:rPr>
          <w:b/>
          <w:i w:val="0"/>
        </w:rPr>
        <w:t xml:space="preserve">Điều 2. </w:t>
      </w:r>
      <w:r>
        <w:rPr>
          <w:b w:val="0"/>
          <w:i w:val="0"/>
        </w:rPr>
        <w:t>Tổng giám đốc Tổng Công ty Than Việt Nam, Tổng giám đốc Tổng Công ty Điện lực Việt Nam có trách nhiệm chỉ đạo thực hiện việc chuyển giao trên theo đúng quy định hiện hành của Nhà nước.</w:t>
      </w:r>
    </w:p>
    <w:p>
      <w:r>
        <w:rPr>
          <w:b/>
          <w:i w:val="0"/>
        </w:rPr>
        <w:t xml:space="preserve">Điều 3. </w:t>
      </w:r>
      <w:r>
        <w:rPr>
          <w:b w:val="0"/>
          <w:i w:val="0"/>
        </w:rPr>
        <w:t xml:space="preserve">Quyết định này có hiệu lực thi hành sau 15 ngày kể từ ngày ký. Các văn bản trước đây trái với Quyết định này đều bãi bỏ. </w:t>
      </w:r>
      <w:r>
        <w:rPr>
          <w:b w:val="0"/>
          <w:i w:val="0"/>
        </w:rPr>
        <w:t>Chánh Văn phòng Bộ, Chánh Thanh tra Bộ, các Vụ trưởng, Cục trưởng, Chủ tịch Hội đồng quản trị và Tổng giám đốc Tổng Công ty Than Việt Nam, Chủ tịch Hội đồng quản trị và Tổng giám đốc Tổng Công ty Điện lực Việt Nam,Giám đốc Xí nghiệp Điện dân dụng, Giám đốc Nhà máy Cơ khí Cẩm Phả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