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201 TC/QÐ/TCCB Về việc cử cán bộ Bảo Việt đi công tác tại Nhật bản</w:t>
      </w:r>
    </w:p>
    <w:p>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t>Số : 201 TC/QĐ/TCCB</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17 tháng 3 năm 1995</w:t>
      </w:r>
      <w:r>
        <w:rPr>
          <w:b w:val="0"/>
          <w:i w:val="0"/>
        </w:rPr>
        <w:br/>
      </w:r>
      <w:r>
        <w:rPr>
          <w:b w:val="0"/>
          <w:i w:val="0"/>
        </w:rPr>
        <w:br/>
      </w:r>
      <w:r>
        <w:rPr>
          <w:b w:val="0"/>
          <w:i w:val="0"/>
        </w:rPr>
        <w:br/>
      </w:r>
      <w:r>
        <w:rPr>
          <w:b w:val="0"/>
          <w:i w:val="0"/>
        </w:rPr>
        <w:br/>
      </w:r>
      <w:r>
        <w:rPr>
          <w:b/>
          <w:i w:val="0"/>
        </w:rPr>
        <w:t>QUYẾT ĐỊNH</w:t>
      </w:r>
      <w:r>
        <w:rPr>
          <w:b w:val="0"/>
          <w:i w:val="0"/>
        </w:rPr>
        <w:br/>
      </w:r>
      <w:r>
        <w:rPr>
          <w:b w:val="0"/>
          <w:i w:val="0"/>
        </w:rPr>
        <w:t>VỀ VIỆC CỬ CÁN BỘ BẢO VIỆT ĐI CÔNG TÁC TẠI NHẬT BẢN</w:t>
      </w:r>
      <w:r>
        <w:rPr>
          <w:b w:val="0"/>
          <w:i w:val="0"/>
        </w:rPr>
        <w:br/>
      </w:r>
      <w:r>
        <w:rPr>
          <w:b/>
          <w:i w:val="0"/>
        </w:rPr>
        <w:t>BỘ TRƯỞNG BỘ TÀI CHÍNH</w:t>
      </w:r>
      <w:r>
        <w:rPr>
          <w:b w:val="0"/>
          <w:i w:val="0"/>
        </w:rPr>
        <w:br/>
      </w:r>
      <w:r>
        <w:rPr>
          <w:b w:val="0"/>
          <w:i w:val="0"/>
        </w:rPr>
        <w:br/>
      </w:r>
      <w:r>
        <w:rPr>
          <w:b w:val="0"/>
          <w:i w:val="0"/>
        </w:rPr>
        <w:t>Căn cứ Nghị định số 15/CP ngày 02/3/1993 của Chính phủ quy định nhiệm vụ, quyền hạn và trách nhiệm quản lý Nhà nước của Bộ, cơ quan ngang Bộ;</w:t>
      </w:r>
      <w:r>
        <w:rPr>
          <w:b w:val="0"/>
          <w:i w:val="0"/>
        </w:rPr>
        <w:br/>
      </w:r>
      <w:r>
        <w:rPr>
          <w:b w:val="0"/>
          <w:i w:val="0"/>
        </w:rPr>
        <w:t>Căn cứ Nghị định số 178/CP ngày 28/10/1994 của Chính phủ về nhiệm vụ, quyền hạn và tổ chức bộ máy Bộ Tài chính;</w:t>
      </w:r>
      <w:r>
        <w:rPr>
          <w:b w:val="0"/>
          <w:i w:val="0"/>
        </w:rPr>
        <w:br/>
      </w:r>
      <w:r>
        <w:rPr>
          <w:b w:val="0"/>
          <w:i w:val="0"/>
        </w:rPr>
        <w:t>Căn cứ thư ngày 02/12/1994 của Hội bảo hiểm cháy và Hàng Hải Nhật về việc mời cán bộ của Bảo Việt tham dự khoá học nâng cao về Bảo hiểm phi nhân thọ;</w:t>
      </w:r>
      <w:r>
        <w:rPr>
          <w:b w:val="0"/>
          <w:i w:val="0"/>
        </w:rPr>
        <w:br/>
      </w:r>
      <w:r>
        <w:rPr>
          <w:b w:val="0"/>
          <w:i w:val="0"/>
        </w:rPr>
        <w:t>Theo đề nghị của đồng chí Tổng Giám đốc Tổng công ty Bảo hiểm Việt Nam,Vụ trưởng Vụ Tổ chức cán bộ và Đào tạo,</w:t>
      </w:r>
      <w:r>
        <w:rPr>
          <w:b w:val="0"/>
          <w:i w:val="0"/>
        </w:rPr>
        <w:br/>
      </w:r>
      <w:r>
        <w:rPr>
          <w:b/>
          <w:i w:val="0"/>
        </w:rPr>
        <w:t>QUYẾT ĐỊNH</w:t>
      </w:r>
      <w:r>
        <w:rPr>
          <w:b w:val="0"/>
          <w:i w:val="0"/>
        </w:rPr>
        <w:br/>
      </w:r>
      <w:r>
        <w:rPr>
          <w:b/>
          <w:i/>
        </w:rPr>
        <w:t>Điều 1</w:t>
      </w:r>
      <w:r>
        <w:rPr>
          <w:b w:val="0"/>
          <w:i w:val="0"/>
        </w:rPr>
        <w:t>: Cử đồng chí Nguyễn Thành Thuận - Trưởng phòng Bảo hiểm hàng hải và cháy, Công ty Bảo hiểm Vũng Tàu thuộc Tổng Công ty Bảo hiểm Việt Nam tham dự Hội thảo tại Tokyo Thời gian từ 12/5 đến 22/5/1995.</w:t>
      </w:r>
      <w:r>
        <w:rPr>
          <w:b w:val="0"/>
          <w:i w:val="0"/>
        </w:rPr>
        <w:br/>
      </w:r>
      <w:r>
        <w:rPr>
          <w:b/>
          <w:i/>
        </w:rPr>
        <w:t>Điều 2</w:t>
      </w:r>
      <w:r>
        <w:rPr>
          <w:b w:val="0"/>
          <w:i w:val="0"/>
        </w:rPr>
        <w:t>: Trong thời gian công tác tại nước ngoài, đồng chí Nguyễn Thành Thuận được hưởng tiền lương và phụ cấp theo chế độ hiện hành.</w:t>
      </w:r>
      <w:r>
        <w:rPr>
          <w:b w:val="0"/>
          <w:i w:val="0"/>
        </w:rPr>
        <w:br/>
      </w:r>
      <w:r>
        <w:rPr>
          <w:b/>
          <w:i/>
        </w:rPr>
        <w:t>Điều 3</w:t>
      </w:r>
      <w:r>
        <w:rPr>
          <w:b w:val="0"/>
          <w:i w:val="0"/>
        </w:rPr>
        <w:t>: Các đồng chí Vụ trưởng Vụ Tổ chức cán bộ và Đào tạo, Tổng Giám đốc Tổng công ty Bảo hiểm Việt nam, Chánh Văn phòng Bộ Tài chính và đồng chí có tên trên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t>KT/BỘ TRƯỞNG BỘ TÀI CHÍNH</w:t>
      </w:r>
      <w:r>
        <w:rPr>
          <w:b w:val="0"/>
          <w:i w:val="0"/>
        </w:rPr>
        <w:br/>
      </w:r>
      <w:r>
        <w:rPr>
          <w:b w:val="0"/>
          <w:i w:val="0"/>
        </w:rPr>
        <w:br/>
      </w:r>
      <w:r>
        <w:rPr>
          <w:b w:val="0"/>
          <w:i w:val="0"/>
        </w:rPr>
        <w:br/>
      </w:r>
      <w:r>
        <w:rPr>
          <w:b w:val="0"/>
          <w:i w:val="0"/>
        </w:rPr>
        <w:br/>
      </w:r>
      <w:r>
        <w:rPr>
          <w:b/>
          <w:i/>
        </w:rPr>
        <w:t>Nơi nhận:</w:t>
      </w:r>
      <w:r>
        <w:rPr>
          <w:b w:val="0"/>
          <w:i w:val="0"/>
        </w:rPr>
        <w:br/>
      </w:r>
      <w:r>
        <w:rPr>
          <w:b w:val="0"/>
          <w:i w:val="0"/>
        </w:rPr>
        <w:br/>
      </w:r>
      <w:r>
        <w:rPr>
          <w:b w:val="0"/>
          <w:i w:val="0"/>
        </w:rPr>
        <w:t>THỨ TRƯỞNG</w:t>
      </w:r>
      <w:r>
        <w:rPr>
          <w:b w:val="0"/>
          <w:i w:val="0"/>
        </w:rPr>
        <w:br/>
      </w:r>
      <w:r>
        <w:rPr>
          <w:b w:val="0"/>
          <w:i w:val="0"/>
        </w:rPr>
        <w:br/>
      </w:r>
      <w:r>
        <w:rPr>
          <w:b w:val="0"/>
          <w:i w:val="0"/>
        </w:rPr>
        <w:br/>
      </w:r>
      <w:r>
        <w:rPr>
          <w:b w:val="0"/>
          <w:i w:val="0"/>
        </w:rPr>
        <w:br/>
      </w:r>
      <w:r>
        <w:rPr>
          <w:b w:val="0"/>
          <w:i w:val="0"/>
        </w:rPr>
        <w:t>- Tổng công ty BHVN</w:t>
      </w:r>
      <w:r>
        <w:rPr>
          <w:b w:val="0"/>
          <w:i w:val="0"/>
        </w:rPr>
        <w:br/>
      </w:r>
      <w:r>
        <w:rPr>
          <w:b w:val="0"/>
          <w:i w:val="0"/>
        </w:rPr>
        <w:br/>
      </w:r>
      <w:r>
        <w:rPr>
          <w:b/>
          <w:i/>
        </w:rPr>
        <w:t xml:space="preserve"> </w:t>
      </w:r>
      <w:r>
        <w:rPr>
          <w:b w:val="0"/>
          <w:i w:val="0"/>
        </w:rPr>
        <w:br/>
      </w:r>
      <w:r>
        <w:rPr>
          <w:b w:val="0"/>
          <w:i w:val="0"/>
        </w:rPr>
        <w:br/>
      </w:r>
      <w:r>
        <w:rPr>
          <w:b w:val="0"/>
          <w:i w:val="0"/>
        </w:rPr>
        <w:br/>
      </w:r>
      <w:r>
        <w:rPr>
          <w:b w:val="0"/>
          <w:i w:val="0"/>
        </w:rPr>
        <w:br/>
      </w:r>
      <w:r>
        <w:rPr>
          <w:b w:val="0"/>
          <w:i w:val="0"/>
        </w:rPr>
        <w:t>- Cá nhân</w:t>
      </w:r>
      <w:r>
        <w:rPr>
          <w:b w:val="0"/>
          <w:i w:val="0"/>
        </w:rPr>
        <w:br/>
      </w:r>
      <w:r>
        <w:rPr>
          <w:b w:val="0"/>
          <w:i w:val="0"/>
        </w:rPr>
        <w:br/>
      </w:r>
      <w:r>
        <w:rPr>
          <w:b w:val="0"/>
          <w:i w:val="0"/>
        </w:rPr>
        <w:br/>
      </w:r>
      <w:r>
        <w:rPr>
          <w:b w:val="0"/>
          <w:i w:val="0"/>
        </w:rPr>
        <w:br/>
      </w:r>
      <w:r>
        <w:rPr>
          <w:b w:val="0"/>
          <w:i w:val="0"/>
        </w:rPr>
        <w:br/>
      </w:r>
      <w:r>
        <w:rPr>
          <w:b w:val="0"/>
          <w:i w:val="0"/>
        </w:rPr>
        <w:t>- Lưu: VP, TCCB</w:t>
      </w:r>
      <w:r>
        <w:rPr>
          <w:b w:val="0"/>
          <w:i w:val="0"/>
        </w:rPr>
        <w:br/>
      </w:r>
      <w:r>
        <w:rPr>
          <w:b w:val="0"/>
          <w:i w:val="0"/>
        </w:rPr>
        <w:br/>
      </w:r>
      <w:r>
        <w:rPr>
          <w:b w:val="0"/>
          <w:i w:val="0"/>
        </w:rPr>
        <w:br/>
      </w:r>
      <w:r>
        <w:rPr>
          <w:b w:val="0"/>
          <w:i w:val="0"/>
        </w:rPr>
        <w:br/>
      </w:r>
      <w:r>
        <w:rPr>
          <w:b w:val="0"/>
          <w:i w:val="0"/>
        </w:rPr>
        <w:br/>
      </w:r>
      <w:r>
        <w:rPr>
          <w:b w:val="0"/>
          <w:i w:val="0"/>
        </w:rPr>
        <w:br/>
      </w:r>
      <w:r>
        <w:rPr>
          <w:b/>
          <w:i/>
        </w:rPr>
        <w:t>Phạm Văn Trọng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Văn bản liên quan: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201 TC/QĐ/TCCB</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KT/BỘ TRƯỞNG BỘ TÀI CHÍNH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