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2065/QĐ-TTg Phê duyệt kế hoạch sắp xếp, đổi mới doanh nghiệp 100% vốn nhà nước trực thuộc Ủy ban nhân dân thành phố Hà Nội đến hết năm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2065/QĐ-TTg</w:t>
      </w:r>
      <w:r>
        <w:rPr>
          <w:b w:val="0"/>
          <w:i w:val="0"/>
        </w:rPr>
        <w:br/>
      </w:r>
      <w:r>
        <w:rPr>
          <w:b w:val="0"/>
          <w:i w:val="0"/>
        </w:rPr>
        <w:br/>
      </w:r>
      <w:r>
        <w:rPr>
          <w:b w:val="0"/>
          <w:i/>
        </w:rPr>
        <w:br/>
      </w:r>
      <w:r>
        <w:rPr>
          <w:b w:val="0"/>
          <w:i/>
        </w:rPr>
        <w:t xml:space="preserve">Hà Nội, ngày 09 tháng 12 năm 2009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2065/QĐ-TTg</w:t>
      </w:r>
      <w:r>
        <w:rPr>
          <w:b w:val="0"/>
          <w:i w:val="0"/>
        </w:rPr>
        <w:br/>
      </w:r>
      <w:r>
        <w:rPr>
          <w:b w:val="0"/>
          <w:i w:val="0"/>
        </w:rPr>
        <w:br/>
      </w:r>
      <w:r>
        <w:rPr>
          <w:b w:val="0"/>
          <w:i/>
        </w:rPr>
        <w:br/>
      </w:r>
      <w:r>
        <w:rPr>
          <w:b w:val="0"/>
          <w:i/>
        </w:rPr>
        <w:t xml:space="preserve">Hà Nội, ngày 09 tháng 12 năm 2009 </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2065/QĐ-TTg</w:t>
      </w:r>
      <w:r>
        <w:rPr>
          <w:b w:val="0"/>
          <w:i w:val="0"/>
        </w:rPr>
        <w:br/>
      </w:r>
      <w:r>
        <w:rPr>
          <w:b w:val="0"/>
          <w:i w:val="0"/>
        </w:rPr>
        <w:br/>
      </w:r>
      <w:r>
        <w:rPr>
          <w:b w:val="0"/>
          <w:i/>
        </w:rPr>
        <w:br/>
      </w:r>
      <w:r>
        <w:rPr>
          <w:b w:val="0"/>
          <w:i/>
        </w:rPr>
        <w:t xml:space="preserve">Hà Nội, ngày 09 tháng 12 năm 2009 </w:t>
      </w:r>
      <w:r>
        <w:rPr>
          <w:b w:val="0"/>
          <w:i/>
        </w:rPr>
        <w:br/>
      </w:r>
      <w:r>
        <w:rPr>
          <w:b w:val="0"/>
          <w:i w:val="0"/>
        </w:rPr>
        <w:br/>
      </w:r>
    </w:p>
    <w:p>
      <w:pPr>
        <w:jc w:val="center"/>
      </w:pPr>
      <w:r>
        <w:rPr>
          <w:b w:val="0"/>
          <w:i w:val="0"/>
        </w:rPr>
        <w:br/>
      </w:r>
      <w:r>
        <w:rPr>
          <w:b w:val="0"/>
          <w:i w:val="0"/>
        </w:rPr>
        <w:t>Số: 2065/QĐ-TTg</w:t>
      </w:r>
      <w:r>
        <w:rPr>
          <w:b w:val="0"/>
          <w:i w:val="0"/>
        </w:rPr>
        <w:br/>
      </w:r>
    </w:p>
    <w:p>
      <w:pPr>
        <w:jc w:val="center"/>
      </w:pPr>
      <w:r>
        <w:rPr>
          <w:b w:val="0"/>
          <w:i w:val="0"/>
        </w:rPr>
        <w:br/>
      </w:r>
      <w:r>
        <w:rPr>
          <w:b w:val="0"/>
          <w:i w:val="0"/>
        </w:rPr>
        <w:t xml:space="preserve">Hà Nội, ngày 09 tháng 12 năm 2009 </w:t>
      </w:r>
      <w:r>
        <w:rPr>
          <w:b w:val="0"/>
          <w:i w:val="0"/>
        </w:rPr>
        <w:br/>
      </w:r>
    </w:p>
    <w:p>
      <w:r>
        <w:rPr>
          <w:b w:val="0"/>
          <w:i w:val="0"/>
        </w:rPr>
        <w:br/>
      </w:r>
      <w:r>
        <w:rPr>
          <w:b/>
          <w:i w:val="0"/>
        </w:rPr>
        <w:t>QUYẾT ĐỊNH</w:t>
      </w:r>
      <w:r>
        <w:rPr>
          <w:b w:val="0"/>
          <w:i w:val="0"/>
        </w:rPr>
        <w:br/>
      </w:r>
    </w:p>
    <w:p>
      <w:r>
        <w:rPr>
          <w:b w:val="0"/>
          <w:i w:val="0"/>
        </w:rPr>
        <w:br/>
      </w:r>
      <w:r>
        <w:rPr>
          <w:b/>
          <w:i w:val="0"/>
        </w:rPr>
        <w:t xml:space="preserve">Phê duyệt kế hoạch sắp xếp, đổi mới doanh nghiệp 100% vốn nhà nước </w:t>
      </w:r>
      <w:r>
        <w:rPr>
          <w:b w:val="0"/>
          <w:i w:val="0"/>
        </w:rPr>
        <w:br/>
      </w:r>
    </w:p>
    <w:p>
      <w:r>
        <w:rPr>
          <w:b w:val="0"/>
          <w:i w:val="0"/>
        </w:rPr>
        <w:br/>
      </w:r>
      <w:r>
        <w:rPr>
          <w:b/>
          <w:i w:val="0"/>
        </w:rPr>
        <w:t>trực thuộc Ủy ban nhân dân thành phố Hà Nội đến hết năm 2010</w:t>
      </w:r>
      <w:r>
        <w:rPr>
          <w:b w:val="0"/>
          <w:i w:val="0"/>
        </w:rPr>
        <w:br/>
      </w:r>
    </w:p>
    <w:p>
      <w:r>
        <w:rPr>
          <w:b w:val="0"/>
          <w:i w:val="0"/>
        </w:rPr>
        <w:br/>
      </w:r>
      <w:r>
        <w:rPr>
          <w:b/>
          <w:i w:val="0"/>
        </w:rPr>
        <w:t>_________</w:t>
      </w:r>
      <w:r>
        <w:rPr>
          <w:b w:val="0"/>
          <w:i w:val="0"/>
        </w:rPr>
        <w:br/>
      </w:r>
    </w:p>
    <w:p>
      <w:r>
        <w:rPr>
          <w:b w:val="0"/>
          <w:i w:val="0"/>
        </w:rPr>
        <w:br/>
      </w:r>
      <w:r>
        <w:rPr>
          <w:b/>
          <w:i w:val="0"/>
        </w:rPr>
        <w:t xml:space="preserve">THỦ TƯỚNG CHÍNH PHỦ </w:t>
      </w:r>
      <w:r>
        <w:rPr>
          <w:b w:val="0"/>
          <w:i w:val="0"/>
        </w:rPr>
        <w:br/>
      </w:r>
    </w:p>
    <w:p>
      <w:r>
        <w:rPr>
          <w:b w:val="0"/>
          <w:i w:val="0"/>
        </w:rPr>
        <w:br/>
      </w:r>
      <w:r>
        <w:rPr>
          <w:b w:val="0"/>
          <w:i w:val="0"/>
        </w:rPr>
        <w:t>Căn cứ Luật Tổ chức Chính phủ ngày 25 tháng 12 năm 2001;</w:t>
      </w:r>
      <w:r>
        <w:rPr>
          <w:b w:val="0"/>
          <w:i w:val="0"/>
        </w:rPr>
        <w:br/>
      </w:r>
    </w:p>
    <w:p>
      <w:r>
        <w:rPr>
          <w:b w:val="0"/>
          <w:i w:val="0"/>
        </w:rPr>
        <w:br/>
      </w:r>
      <w:r>
        <w:rPr>
          <w:b w:val="0"/>
          <w:i w:val="0"/>
        </w:rPr>
        <w:t>Căn cứ Luật Doanh nghiệp nhà nước ngày 26 tháng 11 năm 2003;</w:t>
      </w:r>
      <w:r>
        <w:rPr>
          <w:b w:val="0"/>
          <w:i w:val="0"/>
        </w:rPr>
        <w:br/>
      </w:r>
    </w:p>
    <w:p>
      <w:r>
        <w:rPr>
          <w:b w:val="0"/>
          <w:i w:val="0"/>
        </w:rPr>
        <w:br/>
      </w:r>
      <w:r>
        <w:rPr>
          <w:b w:val="0"/>
          <w:i w:val="0"/>
        </w:rPr>
        <w:t>Căn cứ Luật Doanh nghiệp ngày 29 tháng 11 năm 2005;</w:t>
      </w:r>
      <w:r>
        <w:rPr>
          <w:b w:val="0"/>
          <w:i w:val="0"/>
        </w:rPr>
        <w:br/>
      </w:r>
    </w:p>
    <w:p>
      <w:r>
        <w:rPr>
          <w:b w:val="0"/>
          <w:i w:val="0"/>
        </w:rPr>
        <w:br/>
      </w:r>
      <w:r>
        <w:rPr>
          <w:b w:val="0"/>
          <w:i w:val="0"/>
        </w:rPr>
        <w:t>Căn cứ Quyết định số 38/2007/QĐ-TTg ngày 20 tháng 3 năm 2007 của Thủ tướng Chính phủ về ban hành tiêu chí, danh mục phân loại doanh nghiệp 100% vốn nhà nước;</w:t>
      </w:r>
      <w:r>
        <w:rPr>
          <w:b w:val="0"/>
          <w:i w:val="0"/>
        </w:rPr>
        <w:br/>
      </w:r>
    </w:p>
    <w:p>
      <w:r>
        <w:rPr>
          <w:b w:val="0"/>
          <w:i w:val="0"/>
        </w:rPr>
        <w:br/>
      </w:r>
      <w:r>
        <w:rPr>
          <w:b w:val="0"/>
          <w:i w:val="0"/>
        </w:rPr>
        <w:t>Xét đề nghị của Ủy ban nhân dân thành phố Hà Nội,</w:t>
      </w:r>
      <w:r>
        <w:rPr>
          <w:b w:val="0"/>
          <w:i w:val="0"/>
        </w:rPr>
        <w:br/>
      </w:r>
    </w:p>
    <w:p>
      <w:r>
        <w:rPr>
          <w:b w:val="0"/>
          <w:i w:val="0"/>
        </w:rPr>
        <w:br/>
      </w:r>
      <w:r>
        <w:rPr>
          <w:b/>
          <w:i w:val="0"/>
        </w:rPr>
        <w:t>QUYẾT ĐỊNH:</w:t>
      </w:r>
      <w:r>
        <w:rPr>
          <w:b w:val="0"/>
          <w:i w:val="0"/>
        </w:rPr>
        <w:br/>
      </w:r>
    </w:p>
    <w:p>
      <w:r>
        <w:rPr>
          <w:b/>
          <w:i w:val="0"/>
        </w:rPr>
        <w:t xml:space="preserve">Điều 1. </w:t>
      </w:r>
      <w:r>
        <w:rPr>
          <w:b w:val="0"/>
          <w:i w:val="0"/>
        </w:rPr>
        <w:t>Phê duyệt kế hoạch sắp xếp, đổi mới doanh nghiệp 100% vốn nhà nước trực thuộc Ủy ban nhân dân thành phố Hà Nội đến hết năm 2010 (Phụ lục kèm theo).</w:t>
      </w:r>
    </w:p>
    <w:p>
      <w:r>
        <w:rPr>
          <w:b/>
          <w:i w:val="0"/>
        </w:rPr>
        <w:t>Điều 2.</w:t>
      </w:r>
    </w:p>
    <w:p>
      <w:r>
        <w:rPr>
          <w:b w:val="0"/>
          <w:i w:val="0"/>
        </w:rPr>
        <w:t>1. Chủ tịch Ủy ban nhân dân thành phố Hà Nội có trách nhiệm:</w:t>
      </w:r>
    </w:p>
    <w:p>
      <w:r>
        <w:rPr>
          <w:b w:val="0"/>
          <w:i w:val="0"/>
        </w:rPr>
        <w:t>a) Chỉ đạo thực hiện việc sắp xếp, đổi mới doanh nghiệp 100% vốn nhà nước trực thuộc theo đúng nội dung và tiến độ được duyệt;</w:t>
      </w:r>
    </w:p>
    <w:p>
      <w:r>
        <w:rPr>
          <w:b w:val="0"/>
          <w:i w:val="0"/>
        </w:rPr>
        <w:t>b) Căn cứ tiêu chí, danh mục phân loại doanh nghiệp 100% vốn nhà nước tại Quyết định số 38/2007/QĐ-TTg ngày 20 tháng 3 năm 2007 của Thủ tướng Chính phủ để quyết định tỷ lệ cổ phần do Nhà nước nắm giữ tại các doanh nghiệp 100% vốn nhà nước thực hiện cổ phần hóa;</w:t>
      </w:r>
    </w:p>
    <w:p>
      <w:r>
        <w:rPr>
          <w:b w:val="0"/>
          <w:i w:val="0"/>
        </w:rPr>
        <w:t>c) Căn cứ Nghị định số 111/2007/NĐ-CP ngày 26 tháng 6 năm 2007 về tổ chức quản lý Tổng công ty nhà nước và chuyển đổi Tổng công ty nhà nước, công ty nhà nước độc lập, công ty mẹ là công ty nhà nước theo hình thức công ty mẹ - công ty con hoạt động theo Luật Doanh nghiệp, quyết định chuyển đổi 04 doanh nghiệp quy định tại Điều 1 Quyết định này sang hoạt động theo mô hình công ty mẹ - công ty con theo quy định hiện hành.</w:t>
      </w:r>
    </w:p>
    <w:p>
      <w:r>
        <w:rPr>
          <w:b w:val="0"/>
          <w:i w:val="0"/>
        </w:rPr>
        <w:t xml:space="preserve">d) Báo cáo cụ thể phương án sáp nhập và hợp nhất các doanh nghiệp tại tờ trình số 44/TTr-UBND ngày 29 tháng 9 năm 2009 để </w:t>
      </w:r>
      <w:r>
        <w:rPr>
          <w:b w:val="0"/>
          <w:i w:val="0"/>
        </w:rPr>
        <w:t>Thủ tướng Chính phủ xem xét, quyết định;</w:t>
      </w:r>
    </w:p>
    <w:p>
      <w:r>
        <w:rPr>
          <w:b w:val="0"/>
          <w:i w:val="0"/>
        </w:rPr>
        <w:t xml:space="preserve">đ) Xây dựng đề án thành lập Công ty Đầu tư tài chính Hà Nội, báo cáo </w:t>
      </w:r>
      <w:r>
        <w:rPr>
          <w:b w:val="0"/>
          <w:i w:val="0"/>
        </w:rPr>
        <w:t>Thủ tướng Chính phủ trong quý I năm 2010;</w:t>
      </w:r>
    </w:p>
    <w:p>
      <w:r>
        <w:rPr>
          <w:b w:val="0"/>
          <w:i w:val="0"/>
        </w:rPr>
        <w:t>e) Chỉ đạo Tổng công ty Đầu tư phát triển hạ tầng đô thị phối hợp với Công ty Mua bán nợ và tài sản tồn đọng của doanh nghiệp cơ cấu lại Công ty Sản xuất công nghiệp và xây lắp Hà Nội để chuyển thành công ty cổ phần trong năm 2010.</w:t>
      </w:r>
    </w:p>
    <w:p>
      <w:r>
        <w:rPr>
          <w:b w:val="0"/>
          <w:i w:val="0"/>
        </w:rPr>
        <w:t>2. Các Bộ: Tài chính, Kế hoạch và Đầu tư, Nội vụ, Lao động - Thương binh và Xã hội và các cơ quan liên quan có trách nhiệm phối hợp với Ủy ban nhân dân thành phố Hà Nội trong việc thực hiện Quyết định này.</w:t>
      </w:r>
    </w:p>
    <w:p>
      <w:r>
        <w:rPr>
          <w:b w:val="0"/>
          <w:i w:val="0"/>
        </w:rPr>
        <w:t>3. Ban Chỉ đạo Đổi mới và Phát triển doanh nghiệp chịu trách nhiệm chỉ đạo, đôn đốc, hướng dẫn và theo dõi việc thực hiện.</w:t>
      </w:r>
    </w:p>
    <w:p>
      <w:r>
        <w:rPr>
          <w:b/>
          <w:i w:val="0"/>
        </w:rPr>
        <w:t xml:space="preserve">Điều 3. </w:t>
      </w:r>
      <w:r>
        <w:rPr>
          <w:b w:val="0"/>
          <w:i w:val="0"/>
        </w:rPr>
        <w:t>Quyết định này có hiệu lực thi hành kể từ ngày ký ban hành.</w:t>
      </w:r>
    </w:p>
    <w:p>
      <w:r>
        <w:rPr>
          <w:b w:val="0"/>
          <w:i w:val="0"/>
        </w:rPr>
        <w:t>Chủ tịch Ủy ban nhân dân thành phố Hà Nội, Thủ trưởng các cơ quan liên quan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