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20/2006/QĐ-BTNMT Ban hành Bộ đơn giá dự toán các công trình địa chất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NGUYÊN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20/2006/QĐ-BTNMT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12 tháng 12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NGUYÊN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20/2006/QĐ-BTNMT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12 tháng 12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NGUYÊN VÀ MÔI TRƯỜNG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TÀI NGUYÊN VÀ MÔI TRƯỜNG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TÀI NGUYÊN VÀ MÔI TRƯỜNG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20/2006/QĐ-BTNMT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12 tháng 12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20/2006/QĐ-BTNMT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12 tháng 12 năm 2006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 w:val="0"/>
          <w:i w:val="0"/>
        </w:rPr>
        <w:t>Ban hành Bộ đơn giá dự toán các công trình địa chất</w:t>
      </w:r>
    </w:p>
    <w:p>
      <w:r>
        <w:rPr>
          <w:b w:val="0"/>
          <w:i w:val="0"/>
        </w:rPr>
        <w:t>_______________________</w:t>
      </w:r>
    </w:p>
    <w:p>
      <w:r>
        <w:rPr>
          <w:b/>
          <w:i w:val="0"/>
        </w:rPr>
        <w:t>BỘ TRƯỞNG BỘ TÀI NGUYÊN VÀ MÔI TRƯỜNG</w:t>
      </w:r>
    </w:p>
    <w:p>
      <w:r>
        <w:rPr>
          <w:b w:val="0"/>
          <w:i/>
        </w:rPr>
        <w:t>Căn cứ Nghị định số 91/2002/NĐ-CP ngày 11 tháng 11 năm 2002 của Chính phủ quy định chức năng, nhiệm vụ, quyền hạn và cơ cấu tổ chức của Bộ Tài nguyên và Môi trường;</w:t>
      </w:r>
    </w:p>
    <w:p>
      <w:r>
        <w:rPr>
          <w:b w:val="0"/>
          <w:i/>
        </w:rPr>
        <w:t>Căn cứ Nghị định số 203/2004/NĐ-CP ngày 14 tháng 12 năm 2004 của Chính phủ quy định mức lương tối thiểu;</w:t>
      </w:r>
    </w:p>
    <w:p>
      <w:r>
        <w:rPr>
          <w:b w:val="0"/>
          <w:i/>
        </w:rPr>
        <w:t>Căn cứ Nghị định số 204/2004/NĐ-CP ngày 14 tháng 12 năm 2004 của Chính phủ về chế độ tiền lương đối với cán bộ, công chức, viên chức và lực lượng vũ trang;</w:t>
      </w:r>
    </w:p>
    <w:p>
      <w:r>
        <w:rPr>
          <w:b w:val="0"/>
          <w:i/>
        </w:rPr>
        <w:t>Căn cứ Nghị định số 205/2004/NĐ-CP ngày 14 tháng 12 năm 2004 của Chính phủ quy định hệ thống thang lương, bảng lương và chế độ phụ cấp lương trong các công ty nhà nước;</w:t>
      </w:r>
    </w:p>
    <w:p>
      <w:r>
        <w:rPr>
          <w:b w:val="0"/>
          <w:i/>
        </w:rPr>
        <w:t>Căn cứ Nghị định số 94/2006/NĐ-CP ngày 07 tháng 9 năm 2006 của Chính phủ về việc điều chỉnh mức lương tối thiểu chung;</w:t>
      </w:r>
    </w:p>
    <w:p>
      <w:r>
        <w:rPr>
          <w:b w:val="0"/>
          <w:i/>
        </w:rPr>
        <w:t>Trên cơ sở ý kiến của Bộ Nội vụ về chế độ phụ cấp ưu đãi theo nghề hoặc công việc thuộc ngành Tài nguyên và Môi trường tại Công văn số 2947/BNV-TL ngày 05 tháng 10 năm 2005; ý kiến thỏa thuận của Bộ Tài chính về việc ban hành Bộ đơn giá dự toán các công trình địa chất tại Công văn số 13911/BTC-HCSN ngày 08 tháng 11 năm 2006;</w:t>
      </w:r>
    </w:p>
    <w:p>
      <w:r>
        <w:rPr>
          <w:b w:val="0"/>
          <w:i/>
        </w:rPr>
        <w:t>Theo đề nghị của Cục trưởng Cục Địa chất và Khoáng sản Việt Nam, Vụ trưởng Vụ Kế hoạch – Tài chính, Vụ trưởng Vụ Tổ chức cán bộ và Vụ trưởng Vụ Pháp chế</w:t>
      </w:r>
      <w:r>
        <w:rPr>
          <w:b w:val="0"/>
          <w:i w:val="0"/>
        </w:rPr>
        <w:t>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Bộ đơn giá dự toán các công trình địa chất (theo mức lương tối thiểu 450.000 đồng/tháng, không tính khấu hao tài sản cố định).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ngày, kể từ ngày đăng Công báo.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Bộ, Cục trưởng Cục Địa chất và Khoáng sản Việt Nam, Vụ trưởng Vụ: Kế hoạch - Tài chính, Khoa học - Công nghệ, Tổ chức cán bộ, Pháp chế và Thủ trưởng các đơn vị trực thuộc Bộ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Hải Dũng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Hải Dũng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Hải Dũng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Đỗ Hải Dũng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