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20/2014/QĐ-UBND Ban hành Quy định trách nhiệm của các cơ quan nhà nước đối với các Doanh nghiệp có vốn Nhà nước thuộc tỉnh quản lý</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VĨNH PHÚC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20/2014/QĐ-UBND</w:t>
      </w:r>
      <w:r>
        <w:rPr>
          <w:b w:val="0"/>
          <w:i w:val="0"/>
        </w:rPr>
        <w:br/>
      </w:r>
      <w:r>
        <w:rPr>
          <w:b w:val="0"/>
          <w:i w:val="0"/>
        </w:rPr>
        <w:br/>
      </w:r>
      <w:r>
        <w:rPr>
          <w:b w:val="0"/>
          <w:i/>
        </w:rPr>
        <w:br/>
      </w:r>
      <w:r>
        <w:rPr>
          <w:b w:val="0"/>
          <w:i/>
        </w:rPr>
        <w:t>Vĩnh Phúc, ngày 29 tháng 04 năm 2014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VĨNH PHÚC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20/2014/QĐ-UBND</w:t>
      </w:r>
      <w:r>
        <w:rPr>
          <w:b w:val="0"/>
          <w:i w:val="0"/>
        </w:rPr>
        <w:br/>
      </w:r>
      <w:r>
        <w:rPr>
          <w:b w:val="0"/>
          <w:i w:val="0"/>
        </w:rPr>
        <w:br/>
      </w:r>
      <w:r>
        <w:rPr>
          <w:b w:val="0"/>
          <w:i/>
        </w:rPr>
        <w:br/>
      </w:r>
      <w:r>
        <w:rPr>
          <w:b w:val="0"/>
          <w:i/>
        </w:rPr>
        <w:t>Vĩnh Phúc, ngày 29 tháng 04 năm 2014</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VĨNH PHÚC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VĨNH PHÚC</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VĨNH PHÚC</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20/2014/QĐ-UBND</w:t>
      </w:r>
      <w:r>
        <w:rPr>
          <w:b w:val="0"/>
          <w:i w:val="0"/>
        </w:rPr>
        <w:br/>
      </w:r>
      <w:r>
        <w:rPr>
          <w:b w:val="0"/>
          <w:i w:val="0"/>
        </w:rPr>
        <w:br/>
      </w:r>
      <w:r>
        <w:rPr>
          <w:b w:val="0"/>
          <w:i/>
        </w:rPr>
        <w:br/>
      </w:r>
      <w:r>
        <w:rPr>
          <w:b w:val="0"/>
          <w:i/>
        </w:rPr>
        <w:t>Vĩnh Phúc, ngày 29 tháng 04 năm 2014</w:t>
      </w:r>
      <w:r>
        <w:rPr>
          <w:b w:val="0"/>
          <w:i/>
        </w:rPr>
        <w:br/>
      </w:r>
      <w:r>
        <w:rPr>
          <w:b w:val="0"/>
          <w:i w:val="0"/>
        </w:rPr>
        <w:br/>
      </w:r>
    </w:p>
    <w:p>
      <w:pPr>
        <w:jc w:val="center"/>
      </w:pPr>
      <w:r>
        <w:rPr>
          <w:b w:val="0"/>
          <w:i w:val="0"/>
        </w:rPr>
        <w:br/>
      </w:r>
      <w:r>
        <w:rPr>
          <w:b w:val="0"/>
          <w:i w:val="0"/>
        </w:rPr>
        <w:t>Số: 20/2014/QĐ-UBND</w:t>
      </w:r>
      <w:r>
        <w:rPr>
          <w:b w:val="0"/>
          <w:i w:val="0"/>
        </w:rPr>
        <w:br/>
      </w:r>
    </w:p>
    <w:p>
      <w:pPr>
        <w:jc w:val="center"/>
      </w:pPr>
      <w:r>
        <w:rPr>
          <w:b w:val="0"/>
          <w:i w:val="0"/>
        </w:rPr>
        <w:br/>
      </w:r>
      <w:r>
        <w:rPr>
          <w:b w:val="0"/>
          <w:i w:val="0"/>
        </w:rPr>
        <w:t>Vĩnh Phúc, ngày 29 tháng 04 năm 2014</w:t>
      </w:r>
      <w:r>
        <w:rPr>
          <w:b w:val="0"/>
          <w:i w:val="0"/>
        </w:rPr>
        <w:br/>
      </w:r>
    </w:p>
    <w:p>
      <w:r>
        <w:rPr>
          <w:b/>
          <w:i w:val="0"/>
        </w:rPr>
        <w:t>QUYẾT ĐỊNH</w:t>
      </w:r>
    </w:p>
    <w:p>
      <w:r>
        <w:rPr>
          <w:b/>
          <w:i w:val="0"/>
        </w:rPr>
        <w:t xml:space="preserve">Ban hành Quy định trách nhiệm của các cơ quan nhà nước đối với các </w:t>
      </w:r>
    </w:p>
    <w:p>
      <w:r>
        <w:rPr>
          <w:b/>
          <w:i w:val="0"/>
        </w:rPr>
        <w:t>Doanh nghiệp có vốn Nhà nước thuộc tỉnh quản lý</w:t>
      </w:r>
    </w:p>
    <w:p>
      <w:r>
        <w:rPr>
          <w:b w:val="0"/>
          <w:i w:val="0"/>
        </w:rPr>
        <w:t>_________________</w:t>
      </w:r>
    </w:p>
    <w:p>
      <w:r>
        <w:rPr>
          <w:b/>
          <w:i w:val="0"/>
        </w:rPr>
        <w:t>ỦY BAN NHÂN DÂN</w:t>
      </w:r>
    </w:p>
    <w:p>
      <w:r>
        <w:rPr>
          <w:b w:val="0"/>
          <w:i w:val="0"/>
        </w:rPr>
        <w:t>Căn cứ Luật Tổ chức HĐND và UBND năm 2003;</w:t>
      </w:r>
    </w:p>
    <w:p>
      <w:r>
        <w:rPr>
          <w:b w:val="0"/>
          <w:i w:val="0"/>
        </w:rPr>
        <w:t>Căn cứ Luật Doanh nghiệp năm 2005;</w:t>
      </w:r>
    </w:p>
    <w:p>
      <w:r>
        <w:rPr>
          <w:b w:val="0"/>
          <w:i w:val="0"/>
        </w:rPr>
        <w:t>Căn cứ Luật Viên chức ngày 15/11/2010;</w:t>
      </w:r>
    </w:p>
    <w:p>
      <w:r>
        <w:rPr>
          <w:b w:val="0"/>
          <w:i w:val="0"/>
        </w:rPr>
        <w:t>Căn cứ Luật Ngân sách ngày 16/12/2002;</w:t>
      </w:r>
    </w:p>
    <w:p>
      <w:r>
        <w:rPr>
          <w:b w:val="0"/>
          <w:i w:val="0"/>
        </w:rPr>
        <w:t>Căn cứ Nghị định số 66/2011/NĐ-CP ngày 01/8/2011 của Chính phủ quy định việc áp dụng Luật cán bộ, công chức đối với chức danh lãnh đạo, quản lý công ty TNHH một thành viên do nhà nước làm chủ sở hữu và người được cử làm đại diện chủ sở hữu phần vốn của nhà nước tại DN có vốn nhà nước;</w:t>
      </w:r>
    </w:p>
    <w:p>
      <w:r>
        <w:rPr>
          <w:b w:val="0"/>
          <w:i w:val="0"/>
        </w:rPr>
        <w:t>Căn cứ Nghị định số 99/2012/NĐ-CP ngày 15/11/2012 của Chính phủ về phân công, phân cấp thực hiện các quyền, trách nhiệm, nghĩa vụ của chủ sở hữu Nhà nước đối với Doanh nghiệp nhà nước và vốn Nhà nước đầu tư vào Doanh nghiệp;</w:t>
      </w:r>
    </w:p>
    <w:p>
      <w:r>
        <w:rPr>
          <w:b w:val="0"/>
          <w:i w:val="0"/>
        </w:rPr>
        <w:t>Theo đề nghị của Sở Kế hoạch Đầu tư tại Tờ trình số 574/TTr-SKHĐT ngày 31/10/2013; Báo cáo thẩm định Văn bản QPPL của Sở Tư pháp số 43/BC-STP ngày 21/4/2014,</w:t>
      </w:r>
    </w:p>
    <w:p>
      <w:r>
        <w:rPr>
          <w:b/>
          <w:i w:val="0"/>
        </w:rPr>
        <w:t>QUYẾT ĐỊNH:</w:t>
      </w:r>
      <w:r>
        <w:rPr>
          <w:b w:val="0"/>
          <w:i w:val="0"/>
        </w:rPr>
        <w:t xml:space="preserve"> </w:t>
      </w:r>
    </w:p>
    <w:p>
      <w:r>
        <w:rPr>
          <w:b/>
          <w:i w:val="0"/>
        </w:rPr>
        <w:t xml:space="preserve">Điều 1. </w:t>
      </w:r>
      <w:r>
        <w:rPr>
          <w:b w:val="0"/>
          <w:i w:val="0"/>
        </w:rPr>
        <w:t>Ban hành kèm theo Quyết định này Quy định trách nhiệm của các cơ quan nhà nước đối với các Doanh nghiệp có vốn Nhà nước thuộc tỉnh quản lý.</w:t>
      </w:r>
    </w:p>
    <w:p>
      <w:r>
        <w:rPr>
          <w:b/>
          <w:i w:val="0"/>
        </w:rPr>
        <w:t xml:space="preserve">Điều 2. </w:t>
      </w:r>
      <w:r>
        <w:rPr>
          <w:b w:val="0"/>
          <w:i w:val="0"/>
        </w:rPr>
        <w:t>Quyết định này có hiệu lực sau 10 ngày kể từ ngày ký. Các quy định trước đây trái quy định này và Quyết định số 3458/QĐ-UBND ngày 14/12/2012 của UBND tỉnh về giao nhiệm vụ quản lý nhà nước đối với các Công ty trách nhiệm hữu hạn một thành viên thủy lợi tỉnh Vĩnh Phúc, đều được bãi bỏ.</w:t>
      </w:r>
    </w:p>
    <w:p>
      <w:r>
        <w:rPr>
          <w:b w:val="0"/>
          <w:i w:val="0"/>
        </w:rPr>
        <w:t>Chánh Văn phòng UBND tỉnh, Giám đốc và Thủ trưởng các Sở, ban, ngành; Chủ tịch UBND các huyện, thành phố, thị xã; Chủ tịch UBND các xã, phường, thị trấn; Thủ trưởng các cơ quan, tổ chức, cá nhân có liên quan căn cứ Quyết định thi hành./.</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val="0"/>
        </w:rPr>
        <w:br/>
      </w:r>
      <w:r>
        <w:rPr>
          <w:b/>
          <w:i w:val="0"/>
        </w:rPr>
        <w:br/>
      </w:r>
      <w:r>
        <w:rPr>
          <w:b/>
          <w:i w:val="0"/>
        </w:rPr>
        <w:t>Phùng Quang Hùng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val="0"/>
        </w:rPr>
        <w:br/>
      </w:r>
      <w:r>
        <w:rPr>
          <w:b/>
          <w:i w:val="0"/>
        </w:rPr>
        <w:br/>
      </w:r>
      <w:r>
        <w:rPr>
          <w:b/>
          <w:i w:val="0"/>
        </w:rPr>
        <w:t>Phùng Quang Hùng</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val="0"/>
          <w:i w:val="0"/>
        </w:rPr>
        <w:br/>
      </w:r>
      <w:r>
        <w:rPr>
          <w:b/>
          <w:i w:val="0"/>
        </w:rPr>
        <w:br/>
      </w:r>
      <w:r>
        <w:rPr>
          <w:b/>
          <w:i w:val="0"/>
        </w:rPr>
        <w:t>Phùng Quang Hùng</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Phùng Quang Hùng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