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20/2021/TT-BGTVT Ban hành Quy chế phối hợp giữa doanh nghiệp được giao quản lý tài sản kết cấu hạ tầng hàng không với cơ quan thực hiện chức năng quản lý nhà nước chuyên ngành hàng không</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20/2021/TT-BGTVT</w:t>
      </w:r>
      <w:r>
        <w:rPr>
          <w:b w:val="0"/>
          <w:i w:val="0"/>
        </w:rPr>
        <w:br/>
      </w:r>
      <w:r>
        <w:rPr>
          <w:b w:val="0"/>
          <w:i w:val="0"/>
        </w:rPr>
        <w:br/>
      </w:r>
      <w:r>
        <w:rPr>
          <w:b w:val="0"/>
          <w:i/>
        </w:rPr>
        <w:br/>
      </w:r>
      <w:r>
        <w:rPr>
          <w:b w:val="0"/>
          <w:i/>
        </w:rPr>
        <w:t>Hà Nội, ngày</w:t>
      </w:r>
      <w:r>
        <w:rPr>
          <w:b w:val="0"/>
          <w:i/>
        </w:rPr>
        <w:t xml:space="preserve"> 22</w:t>
      </w:r>
      <w:r>
        <w:rPr>
          <w:b w:val="0"/>
          <w:i/>
        </w:rPr>
        <w:t xml:space="preserve"> tháng</w:t>
      </w:r>
      <w:r>
        <w:rPr>
          <w:b w:val="0"/>
          <w:i/>
        </w:rPr>
        <w:t xml:space="preserve"> 9 </w:t>
      </w:r>
      <w:r>
        <w:rPr>
          <w:b w:val="0"/>
          <w:i/>
        </w:rPr>
        <w:t>năm 20</w:t>
      </w:r>
      <w:r>
        <w:rPr>
          <w:b w:val="0"/>
          <w:i/>
        </w:rPr>
        <w:t>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20/2021/TT-BGTVT</w:t>
      </w:r>
      <w:r>
        <w:rPr>
          <w:b w:val="0"/>
          <w:i w:val="0"/>
        </w:rPr>
        <w:br/>
      </w:r>
      <w:r>
        <w:rPr>
          <w:b w:val="0"/>
          <w:i w:val="0"/>
        </w:rPr>
        <w:br/>
      </w:r>
      <w:r>
        <w:rPr>
          <w:b w:val="0"/>
          <w:i/>
        </w:rPr>
        <w:br/>
      </w:r>
      <w:r>
        <w:rPr>
          <w:b w:val="0"/>
          <w:i/>
        </w:rPr>
        <w:t>Hà Nội, ngày</w:t>
      </w:r>
      <w:r>
        <w:rPr>
          <w:b w:val="0"/>
          <w:i/>
        </w:rPr>
        <w:t xml:space="preserve"> 22</w:t>
      </w:r>
      <w:r>
        <w:rPr>
          <w:b w:val="0"/>
          <w:i/>
        </w:rPr>
        <w:t xml:space="preserve"> tháng</w:t>
      </w:r>
      <w:r>
        <w:rPr>
          <w:b w:val="0"/>
          <w:i/>
        </w:rPr>
        <w:t xml:space="preserve"> 9 </w:t>
      </w:r>
      <w:r>
        <w:rPr>
          <w:b w:val="0"/>
          <w:i/>
        </w:rPr>
        <w:t>năm 20</w:t>
      </w:r>
      <w:r>
        <w:rPr>
          <w:b w:val="0"/>
          <w:i/>
        </w:rPr>
        <w:t>21</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20/2021/TT-BGTVT</w:t>
      </w:r>
      <w:r>
        <w:rPr>
          <w:b w:val="0"/>
          <w:i w:val="0"/>
        </w:rPr>
        <w:br/>
      </w:r>
      <w:r>
        <w:rPr>
          <w:b w:val="0"/>
          <w:i w:val="0"/>
        </w:rPr>
        <w:br/>
      </w:r>
      <w:r>
        <w:rPr>
          <w:b w:val="0"/>
          <w:i/>
        </w:rPr>
        <w:br/>
      </w:r>
      <w:r>
        <w:rPr>
          <w:b w:val="0"/>
          <w:i/>
        </w:rPr>
        <w:t>Hà Nội, ngày</w:t>
      </w:r>
      <w:r>
        <w:rPr>
          <w:b w:val="0"/>
          <w:i/>
        </w:rPr>
        <w:t xml:space="preserve"> 22</w:t>
      </w:r>
      <w:r>
        <w:rPr>
          <w:b w:val="0"/>
          <w:i/>
        </w:rPr>
        <w:t xml:space="preserve"> tháng</w:t>
      </w:r>
      <w:r>
        <w:rPr>
          <w:b w:val="0"/>
          <w:i/>
        </w:rPr>
        <w:t xml:space="preserve"> 9 </w:t>
      </w:r>
      <w:r>
        <w:rPr>
          <w:b w:val="0"/>
          <w:i/>
        </w:rPr>
        <w:t>năm 20</w:t>
      </w:r>
      <w:r>
        <w:rPr>
          <w:b w:val="0"/>
          <w:i/>
        </w:rPr>
        <w:t>21</w:t>
      </w:r>
      <w:r>
        <w:rPr>
          <w:b w:val="0"/>
          <w:i/>
        </w:rPr>
        <w:br/>
      </w:r>
      <w:r>
        <w:rPr>
          <w:b w:val="0"/>
          <w:i w:val="0"/>
        </w:rPr>
        <w:br/>
      </w:r>
    </w:p>
    <w:p>
      <w:pPr>
        <w:jc w:val="center"/>
      </w:pPr>
      <w:r>
        <w:rPr>
          <w:b w:val="0"/>
          <w:i w:val="0"/>
        </w:rPr>
        <w:br/>
      </w:r>
      <w:r>
        <w:rPr>
          <w:b w:val="0"/>
          <w:i w:val="0"/>
        </w:rPr>
        <w:t>Số: 20/2021/TT-BGTVT</w:t>
      </w:r>
      <w:r>
        <w:rPr>
          <w:b w:val="0"/>
          <w:i w:val="0"/>
        </w:rPr>
        <w:br/>
      </w:r>
    </w:p>
    <w:p>
      <w:pPr>
        <w:jc w:val="center"/>
      </w:pPr>
      <w:r>
        <w:rPr>
          <w:b w:val="0"/>
          <w:i w:val="0"/>
        </w:rPr>
        <w:br/>
      </w:r>
      <w:r>
        <w:rPr>
          <w:b w:val="0"/>
          <w:i/>
        </w:rPr>
        <w:t>Hà Nội, ngày</w:t>
      </w:r>
      <w:r>
        <w:rPr>
          <w:b w:val="0"/>
          <w:i/>
        </w:rPr>
        <w:t xml:space="preserve"> 22</w:t>
      </w:r>
      <w:r>
        <w:rPr>
          <w:b w:val="0"/>
          <w:i/>
        </w:rPr>
        <w:t xml:space="preserve"> tháng</w:t>
      </w:r>
      <w:r>
        <w:rPr>
          <w:b w:val="0"/>
          <w:i/>
        </w:rPr>
        <w:t xml:space="preserve"> 9 </w:t>
      </w:r>
      <w:r>
        <w:rPr>
          <w:b w:val="0"/>
          <w:i/>
        </w:rPr>
        <w:t>năm 20</w:t>
      </w:r>
      <w:r>
        <w:rPr>
          <w:b w:val="0"/>
          <w:i/>
        </w:rPr>
        <w:t>21</w:t>
      </w:r>
      <w:r>
        <w:rPr>
          <w:b w:val="0"/>
          <w:i w:val="0"/>
        </w:rPr>
        <w:br/>
      </w:r>
    </w:p>
    <w:p>
      <w:pPr>
        <w:jc w:val="center"/>
      </w:pPr>
      <w:r>
        <w:rPr>
          <w:b/>
          <w:i w:val="0"/>
        </w:rPr>
        <w:t>THÔNG TƯ</w:t>
      </w:r>
    </w:p>
    <w:p>
      <w:pPr>
        <w:jc w:val="center"/>
      </w:pPr>
      <w:r>
        <w:rPr>
          <w:b/>
          <w:i w:val="0"/>
        </w:rPr>
        <w:t>Ban hành Quy chế phối hợp giữa doanh nghiệp được giao quản lý tài sản</w:t>
      </w:r>
      <w:r>
        <w:br/>
      </w:r>
      <w:r>
        <w:rPr>
          <w:b/>
          <w:i w:val="0"/>
        </w:rPr>
        <w:t>kết cấu hạ tầng hàng không</w:t>
      </w:r>
      <w:r>
        <w:rPr>
          <w:b/>
          <w:i w:val="0"/>
        </w:rPr>
        <w:t xml:space="preserve"> với cơ quan thực hiện chức năng quản lý </w:t>
      </w:r>
      <w:r>
        <w:br/>
      </w:r>
      <w:r>
        <w:rPr>
          <w:b/>
          <w:i w:val="0"/>
        </w:rPr>
        <w:t>nhà nước chuyên ngành hàng không</w:t>
      </w:r>
    </w:p>
    <w:p>
      <w:pPr>
        <w:jc w:val="center"/>
      </w:pPr>
      <w:r>
        <w:rPr>
          <w:b/>
          <w:i w:val="0"/>
        </w:rPr>
        <w:t>_____________</w:t>
      </w:r>
    </w:p>
    <w:p>
      <w:r>
        <w:rPr>
          <w:b/>
          <w:i/>
        </w:rPr>
        <w:t>Căn cứ Nghị định số 12/2017/NĐ-CP ngày 10 tháng 02 năm 2017 của Chính phủ quy định chức năng, nhiệm vụ, quyền hạn và cơ cấu tổ chức của Bộ Giao thông vận tải;</w:t>
      </w:r>
    </w:p>
    <w:p>
      <w:r>
        <w:rPr>
          <w:b/>
          <w:i/>
        </w:rPr>
        <w:t>Căn cứ Nghị định số 66/2015/NĐ-CP ngày 12 tháng 8 năm 2015 của Chính phủ quy định về Nhà chức trách hàng không;</w:t>
      </w:r>
    </w:p>
    <w:p>
      <w:r>
        <w:rPr>
          <w:b/>
          <w:i/>
        </w:rPr>
        <w:t>Căn cứ Nghị định số 44/2018/NĐ-CP ngày 13 tháng 3 năm 2018 của Chính phủ quy định việc quản lý, sử dụng và khai thác tài sản kết cấu hạ tầng hàng không;</w:t>
      </w:r>
    </w:p>
    <w:p>
      <w:r>
        <w:rPr>
          <w:b/>
          <w:i/>
        </w:rPr>
        <w:t>Căn cứ Nghị định số 05/2021/NĐ-CP ngày 25 tháng 01 năm 2021 của Chính phủ về quản lý, khai thác cảng hàng không, sân bay;</w:t>
      </w:r>
    </w:p>
    <w:p>
      <w:r>
        <w:rPr>
          <w:b w:val="0"/>
          <w:i/>
        </w:rPr>
        <w:t xml:space="preserve">Theo đề nghị của Vụ trưởng Vụ </w:t>
      </w:r>
      <w:r>
        <w:rPr>
          <w:b w:val="0"/>
          <w:i/>
        </w:rPr>
        <w:t>Kết cấu hạ tầng giao thông</w:t>
      </w:r>
      <w:r>
        <w:rPr>
          <w:b w:val="0"/>
          <w:i/>
        </w:rPr>
        <w:t xml:space="preserve"> và Cục trưởng Cục Hàng không Việt Nam;</w:t>
      </w:r>
    </w:p>
    <w:p>
      <w:r>
        <w:rPr>
          <w:b w:val="0"/>
          <w:i/>
        </w:rPr>
        <w:t xml:space="preserve">Bộ trưởng Bộ Giao thông vận tải ban hành </w:t>
      </w:r>
      <w:r>
        <w:rPr>
          <w:b/>
          <w:i/>
        </w:rPr>
        <w:t>Thông tư ban hành Quy chế phối hợp giữa doanh nghiệp được giao quản lý tài sản</w:t>
      </w:r>
      <w:r>
        <w:rPr>
          <w:b/>
          <w:i/>
        </w:rPr>
        <w:t xml:space="preserve"> kết cấu hạ tầng hàng không</w:t>
      </w:r>
      <w:r>
        <w:rPr>
          <w:b/>
          <w:i/>
        </w:rPr>
        <w:t xml:space="preserve"> v</w:t>
      </w:r>
      <w:r>
        <w:rPr>
          <w:b/>
          <w:i/>
        </w:rPr>
        <w:t>ớ</w:t>
      </w:r>
      <w:r>
        <w:rPr>
          <w:b/>
          <w:i/>
        </w:rPr>
        <w:t xml:space="preserve">i cơ quan thực hiện chức năng </w:t>
      </w:r>
      <w:r>
        <w:rPr>
          <w:b/>
          <w:i/>
        </w:rPr>
        <w:t xml:space="preserve">quản lý </w:t>
      </w:r>
      <w:r>
        <w:rPr>
          <w:b/>
          <w:i/>
        </w:rPr>
        <w:t>nhà nước chuyên ngành hàng không.</w:t>
      </w:r>
    </w:p>
    <w:p>
      <w:r>
        <w:rPr>
          <w:b/>
          <w:i w:val="0"/>
        </w:rPr>
        <w:t xml:space="preserve">Điều 1. </w:t>
      </w:r>
      <w:r>
        <w:rPr>
          <w:b w:val="0"/>
          <w:i w:val="0"/>
        </w:rPr>
        <w:t>Ban hành kèm theo Thông tư này Quy chế phối hợp giữa doanh nghiệp được giao quản lý tài sản kết cấu hạ tầng hàng không với cơ quan thực hiện chức năng quản lý nhà nước chuyên ngành hàng không trong việc quản lý, sử dụng và khai thác tài sản theo quy định.</w:t>
      </w:r>
    </w:p>
    <w:p>
      <w:r>
        <w:rPr>
          <w:b/>
          <w:i w:val="0"/>
        </w:rPr>
        <w:t xml:space="preserve">Điều 2. </w:t>
      </w:r>
      <w:r>
        <w:rPr>
          <w:b w:val="0"/>
          <w:i w:val="0"/>
        </w:rPr>
        <w:t>Thông tư này có hiệu lực thi hành kể từ ngày 10 tháng 11 năm 2021.</w:t>
      </w:r>
    </w:p>
    <w:p>
      <w:r>
        <w:rPr>
          <w:b/>
          <w:i w:val="0"/>
        </w:rPr>
        <w:t xml:space="preserve">Điều 3. </w:t>
      </w:r>
      <w:r>
        <w:rPr>
          <w:b w:val="0"/>
          <w:i w:val="0"/>
        </w:rPr>
        <w:t>Chánh Văn phòng Bộ, Chánh Thanh tra Bộ, các Vụ trưởng, Cục trưởng Cục Hàng không Việt Nam, Tổng giám đốc Tổng công ty Cảng Hàng không Việt Nam - CPTP và Thủ trưởng các cơ quan, tổ chức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Lê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Lê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Lê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Lê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