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20/2025/NĐ-CP Sửa đổi, bổ sung một số điều của Nghị định số 132/2020/NĐ-CP ngày 05 tháng 11 năm 2020 của Chính phủ quy định về quản lý thuế đối với doanh nghiệp có giao dịch liên kết</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20/2025/NĐ-CP</w:t>
        <w:br/>
        <w:t xml:space="preserve">     </w:t>
      </w:r>
      <w:r>
        <w:rPr>
          <w:b w:val="0"/>
          <w:i w:val="0"/>
        </w:rPr>
        <w:br/>
      </w:r>
      <w:r>
        <w:rPr>
          <w:b w:val="0"/>
          <w:i/>
        </w:rPr>
        <w:br/>
        <w:t xml:space="preserve">      Hà Nội, ngày 10 tháng 02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20/2025/NĐ-CP</w:t>
        <w:br/>
        <w:t xml:space="preserve">     </w:t>
      </w:r>
      <w:r>
        <w:rPr>
          <w:b w:val="0"/>
          <w:i w:val="0"/>
        </w:rPr>
        <w:br/>
      </w:r>
      <w:r>
        <w:rPr>
          <w:b w:val="0"/>
          <w:i/>
        </w:rPr>
        <w:br/>
        <w:t xml:space="preserve">      Hà Nội, ngày 10 tháng 02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20/2025/NĐ-CP</w:t>
        <w:br/>
        <w:t xml:space="preserve">     </w:t>
      </w:r>
      <w:r>
        <w:rPr>
          <w:b w:val="0"/>
          <w:i w:val="0"/>
        </w:rPr>
        <w:br/>
      </w:r>
      <w:r>
        <w:rPr>
          <w:b w:val="0"/>
          <w:i/>
        </w:rPr>
        <w:br/>
        <w:t xml:space="preserve">      Hà Nội, ngày 10 tháng 02 năm 2025</w:t>
        <w:br/>
        <w:t xml:space="preserve">     </w:t>
      </w:r>
      <w:r>
        <w:rPr>
          <w:b w:val="0"/>
          <w:i w:val="0"/>
        </w:rPr>
        <w:br/>
      </w:r>
    </w:p>
    <w:p>
      <w:pPr>
        <w:jc w:val="center"/>
      </w:pPr>
      <w:r>
        <w:rPr>
          <w:b w:val="0"/>
          <w:i w:val="0"/>
        </w:rPr>
        <w:br/>
        <w:t xml:space="preserve">      Số: 20/2025/NĐ-CP</w:t>
        <w:br/>
        <w:t xml:space="preserve">     </w:t>
      </w:r>
    </w:p>
    <w:p>
      <w:pPr>
        <w:jc w:val="center"/>
      </w:pPr>
      <w:r>
        <w:rPr>
          <w:b w:val="0"/>
          <w:i w:val="0"/>
        </w:rPr>
        <w:br/>
        <w:t xml:space="preserve">      Hà Nội, ngày 10 tháng 02 năm 2025</w:t>
        <w:br/>
        <w:t xml:space="preserve">     </w:t>
      </w:r>
    </w:p>
    <w:p>
      <w:r>
        <w:rPr>
          <w:b/>
          <w:i w:val="0"/>
        </w:rPr>
        <w:t>NGHỊ ĐỊNH</w:t>
      </w:r>
    </w:p>
    <w:p>
      <w:r>
        <w:rPr>
          <w:b/>
          <w:i w:val="0"/>
        </w:rPr>
        <w:t>Sửa đổi, bổ sung một số điều của Nghị định số 132/2020/NĐ-CP</w:t>
      </w:r>
    </w:p>
    <w:p>
      <w:r>
        <w:rPr>
          <w:b/>
          <w:i w:val="0"/>
        </w:rPr>
        <w:t xml:space="preserve"> ngày 05 tháng 11 năm 2020 của Chính phủ quy định về quản lý thuế </w:t>
      </w:r>
    </w:p>
    <w:p>
      <w:r>
        <w:rPr>
          <w:b/>
          <w:i w:val="0"/>
        </w:rPr>
        <w:t>đối với doanh nghiệp có giao dịch liên kết</w:t>
      </w:r>
    </w:p>
    <w:p>
      <w:r>
        <w:rPr>
          <w:b/>
          <w:i w:val="0"/>
        </w:rPr>
        <w:t>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Quản lý thuế ngày 13 tháng 6 năm 2019;</w:t>
      </w:r>
    </w:p>
    <w:p>
      <w:r>
        <w:rPr>
          <w:b w:val="0"/>
          <w:i/>
        </w:rPr>
        <w:t xml:space="preserve">Căn cứ Luật Thuế thu nhập doanh nghiệp ngày 03 tháng 6 năm 2008; </w:t>
      </w:r>
      <w:r>
        <w:rPr>
          <w:b w:val="0"/>
          <w:i/>
        </w:rPr>
        <w:t xml:space="preserve">Luật </w:t>
      </w:r>
      <w:r>
        <w:rPr>
          <w:b w:val="0"/>
          <w:i/>
        </w:rPr>
        <w:t>sửa đổi, bổ sung một số điều của Luật Thuế thu nhập doanh nghiệp ngày 19</w:t>
      </w:r>
      <w:r>
        <w:rPr>
          <w:b w:val="0"/>
          <w:i/>
        </w:rPr>
        <w:t xml:space="preserve"> tháng 6 năm 2013;</w:t>
      </w:r>
    </w:p>
    <w:p>
      <w:r>
        <w:rPr>
          <w:b w:val="0"/>
          <w:i/>
        </w:rPr>
        <w:t>Căn cứ Luật sửa đổi, bổ sung một số điều của các Luật về thuế ngày 26 tháng 11 năm 2014;</w:t>
      </w:r>
    </w:p>
    <w:p>
      <w:r>
        <w:rPr>
          <w:b w:val="0"/>
          <w:i/>
        </w:rPr>
        <w:t>Căn cứ Luật các Tổ chức tín dụng</w:t>
      </w:r>
      <w:r>
        <w:rPr>
          <w:b w:val="0"/>
          <w:i w:val="0"/>
        </w:rPr>
        <w:t xml:space="preserve"> </w:t>
      </w:r>
      <w:r>
        <w:rPr>
          <w:b w:val="0"/>
          <w:i/>
        </w:rPr>
        <w:t>ngày 18 tháng 01 năm 2024</w:t>
      </w:r>
      <w:r>
        <w:rPr>
          <w:b w:val="0"/>
          <w:i/>
        </w:rPr>
        <w:t>;</w:t>
      </w:r>
    </w:p>
    <w:p>
      <w:r>
        <w:rPr>
          <w:b w:val="0"/>
          <w:i/>
        </w:rPr>
        <w:t>Theo đề nghị của Bộ trưởng Bộ Tài chính;</w:t>
      </w:r>
    </w:p>
    <w:p>
      <w:r>
        <w:rPr>
          <w:b w:val="0"/>
          <w:i/>
        </w:rPr>
        <w:t xml:space="preserve">Chính phủ ban hành Nghị định sửa đổi, bổ sung một số điều </w:t>
      </w:r>
      <w:r>
        <w:rPr>
          <w:b w:val="0"/>
          <w:i/>
        </w:rPr>
        <w:t>của</w:t>
      </w:r>
      <w:r>
        <w:rPr>
          <w:b w:val="0"/>
          <w:i/>
        </w:rPr>
        <w:t xml:space="preserve"> Nghị định số 132/2020/NĐ-CP ngày 05 tháng 11 năm 2020 của Chính phủ quy định về quản lý thuế đối với doanh nghiệp có giao dịch liên kết.</w:t>
      </w:r>
    </w:p>
    <w:p>
      <w:r>
        <w:rPr>
          <w:b/>
          <w:i w:val="0"/>
        </w:rPr>
        <w:t>Điều 1. Sửa đổi, bổ sung một số điều của Nghị định số 132/2020/NĐ-CP ngày 05 tháng 11 năm 2020 của Chính phủ quy định về quản lý thuế đối với doanh nghiệp có giao dịch liên kết</w:t>
      </w:r>
    </w:p>
    <w:p>
      <w:r>
        <w:rPr>
          <w:b w:val="0"/>
          <w:i w:val="0"/>
        </w:rPr>
        <w:t>1. Sửa đổi, bổ sung điểm d, điểm k và bổ sung điểm m khoản 2 Điều 5 như sau:</w:t>
      </w:r>
    </w:p>
    <w:p>
      <w:r>
        <w:rPr>
          <w:b w:val="0"/>
          <w:i w:val="0"/>
        </w:rPr>
        <w:t>a) Sửa đổi, bổ sung điểm d như sau:</w:t>
      </w:r>
    </w:p>
    <w:p>
      <w:r>
        <w:rPr>
          <w:b w:val="0"/>
          <w:i w:val="0"/>
        </w:rPr>
        <w:t>"d)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tổng dư nợ các khoản vốn vay của doanh nghiệp đi vay với doanh nghiệp cho vay hoặc bảo lãnh ít nhất bằng 25% vốn góp của chủ sở hữu của doanh nghiệp đi vay và chiếm trên 50% tổng dư nợ tất cả các khoản nợ trung và dài hạn của doanh nghiệp đi vay.</w:t>
      </w:r>
    </w:p>
    <w:p>
      <w:r>
        <w:rPr>
          <w:b w:val="0"/>
          <w:i w:val="0"/>
        </w:rPr>
        <w:t>Quy định tại điểm d khoản này không áp dụng với các trường hợp sau:</w:t>
      </w:r>
    </w:p>
    <w:p>
      <w:r>
        <w:rPr>
          <w:b w:val="0"/>
          <w:i w:val="0"/>
        </w:rPr>
        <w:t>d.1) Bên bảo lãnh hoặc cho vay là các tổ chức kinh tế hoạt động theo quy định của Luật các tổ chức tín dụng không tham gia trực tiếp, gián tiếp điều hành, kiểm soát, góp vốn, đầu tư vào doanh nghiệp đi vay hoặc doanh nghiệp được bảo lãnh theo quy định tại các điểm a, c, đ, e, g, h, k, l và m khoản này.</w:t>
      </w:r>
    </w:p>
    <w:p>
      <w:r>
        <w:rPr>
          <w:b w:val="0"/>
          <w:i w:val="0"/>
        </w:rPr>
        <w:t>d.2) Bên bảo lãnh hoặc cho vay là các tổ chức kinh tế hoạt động theo quy định của Luật các tổ chức tín dụng và doanh nghiệp đi vay hoặc được bảo lãnh không trực tiếp, gián tiếp cùng chịu sự điều hành, kiểm soát, góp vốn, đầu tư của một bên khác theo quy định tại các điểm b, e và i khoản này."</w:t>
      </w:r>
    </w:p>
    <w:p>
      <w:r>
        <w:rPr>
          <w:b w:val="0"/>
          <w:i w:val="0"/>
        </w:rPr>
        <w:t>b) Sửa đổi, bổ sung điểm k như sau:</w:t>
      </w:r>
    </w:p>
    <w:p>
      <w:r>
        <w:rPr>
          <w:b w:val="0"/>
          <w:i w:val="0"/>
        </w:rPr>
        <w:t>"k) Các trường hợp khác trong đó doanh nghiệp (bao gồm cả chi nhánh hạch toán độc lập thực hiện kê khai, nộp thuế thu nhập doanh nghiệp) chịu sự điều hành, kiểm soát, quyết định trên thực tế đối với hoạt động sản xuất kinh doanh của doanh nghiệp kia;"</w:t>
      </w:r>
    </w:p>
    <w:p>
      <w:r>
        <w:rPr>
          <w:b w:val="0"/>
          <w:i w:val="0"/>
        </w:rPr>
        <w:t>c) Bổ sung điểm m như sau:</w:t>
      </w:r>
    </w:p>
    <w:p>
      <w:r>
        <w:rPr>
          <w:b w:val="0"/>
          <w:i w:val="0"/>
        </w:rPr>
        <w:t>"m) Tổ chức tín dụng với Công ty con hoặc với Công ty kiểm soát hoặc với Công ty liên kết của tổ chức tín dụng theo quy định tại Luật Các tổ chức tín dụng và các văn bản sửa đổi, bổ sung hoặc thay thế (nếu có);"</w:t>
      </w:r>
    </w:p>
    <w:p>
      <w:r>
        <w:rPr>
          <w:b w:val="0"/>
          <w:i w:val="0"/>
        </w:rPr>
        <w:t>2. Sửa đổi, bổ sung khoản 2 Điều 21 như sau:</w:t>
      </w:r>
    </w:p>
    <w:p>
      <w:r>
        <w:rPr>
          <w:b w:val="0"/>
          <w:i w:val="0"/>
        </w:rPr>
        <w:t>"2. Ngân hàng Nhà nước trong phạm vi nhiệm vụ, quyền hạn của mình có trách nhiệm:</w:t>
      </w:r>
    </w:p>
    <w:p>
      <w:r>
        <w:rPr>
          <w:b w:val="0"/>
          <w:i w:val="0"/>
        </w:rPr>
        <w:t>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r>
        <w:rPr>
          <w:b w:val="0"/>
          <w:i w:val="0"/>
        </w:rPr>
        <w:t>Phối hợp cung cấp thông tin được báo cáo theo quy định pháp luật về người có liên quan của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người có liên quan của cổ đông sở hữu từ 01% vốn điều lệ trở lên của tổ chức tín dụng; Công ty liên kết của tổ chức tín dụng theo hệ thống thông tin dữ liệu quản lý của Ngân hàng Nhà nước khi cơ quan thuế đề nghị."</w:t>
      </w:r>
    </w:p>
    <w:p>
      <w:r>
        <w:rPr>
          <w:b/>
          <w:i w:val="0"/>
        </w:rPr>
        <w:t xml:space="preserve">Điều 2. </w:t>
      </w:r>
      <w:r>
        <w:rPr>
          <w:b w:val="0"/>
          <w:i w:val="0"/>
        </w:rPr>
        <w:t>Thay thế Phụ lục I - Thông tin về quan hệ liên kết và giao dịch liên kết ban hành kèm theo Nghị định số 132/2020/NĐ-CP ngày 05 tháng 11 năm 2020 của Chính phủ quy định về quản lý thuế đối với doanh nghiệp có giao dịch liên kết bằng Phụ lục I ban hành kèm theo Nghị định này.</w:t>
      </w:r>
    </w:p>
    <w:p>
      <w:r>
        <w:rPr>
          <w:b/>
          <w:i w:val="0"/>
        </w:rPr>
        <w:t>Điều 3. Quy định chuyển tiếp</w:t>
      </w:r>
    </w:p>
    <w:p>
      <w:r>
        <w:rPr>
          <w:b w:val="0"/>
          <w:i w:val="0"/>
        </w:rPr>
        <w:t>Trường hợp, tại kỳ tính thuế thu nhập doanh nghiệp năm 2020, năm 2021, năm 2022 và năm 2023, doanh nghiệp đi vay chỉ có quan hệ liên kết với tổ chức kinh tế hoạt động theo quy định của Luật Các tổ chức tín dụng quy định tại điểm d khoản 2 Điều 5 Nghị định số 132/2020/NĐ-CP và doanh nghiệp đi vay với bên cho vay hoặc bảo lãnh thuộc trường hợp quy định tại điểm d.1 và điểm d.2 khoản 2 Điều 5 Nghị định số 132/2020/NĐ-CP được sửa đổi, bổ sung tại Điều 1 Nghị định này, có giao dịch liên kết thuộc phạm vi điều chỉnh tại khoản 2 Điều 1 Nghị định số 132/2020/NĐ-CP và có chi phí lãi vay không được trừ theo quy định tại điểm a khoản 3 Điều 16 Nghị định số 132/2020/NĐ-CP thì kể từ kỳ tính thuế năm 2024 thực hiện như sau:</w:t>
      </w:r>
    </w:p>
    <w:p>
      <w:r>
        <w:rPr>
          <w:b w:val="0"/>
          <w:i w:val="0"/>
        </w:rPr>
        <w:t>1. Trường hợp doanh nghiệp không có quan hệ liên kết và không phát sinh giao dịch liên kết theo quy định tại Nghị định số 132/2020/NĐ-CP và Nghị định này thì phần chi phí lãi vay không được trừ và chưa được chuyển sang các kỳ tính thuế tiếp theo tính đến cuối kỳ tính thuế năm 2023 được phân bổ đều chuyển sang các kỳ tính thuế tiếp theo cho thời gian còn lại theo quy định về thời gian được chuyển chi phí lãi vay tại điểm b khoản 3 Điều 16 Nghị định số 132/2020/NĐ-CP.</w:t>
      </w:r>
    </w:p>
    <w:p>
      <w:r>
        <w:rPr>
          <w:b w:val="0"/>
          <w:i w:val="0"/>
        </w:rPr>
        <w:t>2. Trường hợp doanh nghiệp có quan hệ liên kết và giao dịch liên kết theo quy định tại Nghị định số 132/2020/NĐ-CP và Nghị định này thì chi phí lãi vay không được trừ và chưa được chuyển sang các kỳ tính thuế tiếp theo thực hiện theo quy định tại điểm b khoản 3 Điều 16 Nghị định số 132/2020/NĐ-CP.</w:t>
      </w:r>
    </w:p>
    <w:p>
      <w:r>
        <w:rPr>
          <w:b/>
          <w:i w:val="0"/>
        </w:rPr>
        <w:t>Điều 4. Tổ chức thực hiện và hiệu lực thi hành</w:t>
      </w:r>
    </w:p>
    <w:p>
      <w:r>
        <w:rPr>
          <w:b w:val="0"/>
          <w:i w:val="0"/>
        </w:rPr>
        <w:t>1. Nghị định này có hiệu lực thi hành từ ngày 27 tháng 3 năm 2025 và áp dụng từ kỳ tính thuế thu nhập doanh nghiệp năm 2024.</w:t>
      </w:r>
    </w:p>
    <w:p>
      <w:r>
        <w:rPr>
          <w:b w:val="0"/>
          <w:i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Hồ Đức Phớc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Hồ Đức Phớc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Hồ Đức Phớc</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Hồ Đức Phớc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