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20/2025/TT-BTC Sửa đổi, bổ sung một số điều của Thông tư số 51/2021/TT-BTC ngày 30 tháng 06 năm 2021 của Bộ trưởng Bộ Tài chính hướng dẫn nghĩa vụ của tổ chức, cá nhân trong hoạt động đầu tư nước ngoài trên thị trường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Sửa đổi, bổ sung một số điều của Thông tư số 51/2021/TT-BTC ngày 30 tháng 6năm 2021 của Bộ trưởng Bộ Tài chính hướng dẫn nghĩa vụ của tổ chức, cá nhântrong hoạt động đầu tư nước ngoài trên thị trường chứng khoán Việt Nam</w:t>
      </w:r>
    </w:p>
    <w:p>
      <w:r>
        <w:rPr>
          <w:b w:val="0"/>
          <w:i/>
        </w:rPr>
        <w:t>Căn cứ Luật Chứng khoán ngày 26 tháng 11 năm 2019;</w:t>
      </w:r>
    </w:p>
    <w:p>
      <w:r>
        <w:rPr>
          <w:b w:val="0"/>
          <w:i/>
        </w:rPr>
        <w:t>Căn cứ Luật sửa đổi, bổ sung một số điều của Luật Chứng khoán, Luật Kế toán,Luật Kiểm toán độc lập, Luật Ngân sách nhà nước, Luật Quản lý, sử dụng tài sảncông, Luật Quản lý thuế, Luật Thuế thu nhập cá nhân, Luật Dự trữ quốc gia, Luậtxử lý vi phạm hành chính ngày 29 tháng 11 năm 2024;</w:t>
      </w:r>
    </w:p>
    <w:p>
      <w:r>
        <w:rPr>
          <w:b w:val="0"/>
          <w:i/>
        </w:rPr>
        <w:t>Căn cứ Nghị định số 155/2020/NĐ-CP ngày 31 tháng 12 năm 2020 của Chính phủquy định chi tiết thi hành một số điều của Luật Chứng khoán;</w:t>
      </w:r>
    </w:p>
    <w:p>
      <w:r>
        <w:rPr>
          <w:b w:val="0"/>
          <w:i/>
        </w:rPr>
        <w:t>Căn cứ Nghị định số 29/2025/NĐ-CP ngày 24 tháng 02 năm 2025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sửa đổi, bổ sung một số điều của Thông tư số 51/2021/TT-BTC ngày 30 tháng 6 năm 2021 của Bộ trưởng Bộ Tài chính hướng dẫn nghĩa vụ của tổ chức, cá nhân trong hoạt động đầu tư nước ngoài trên thị trường chứng khoán Việt Nam.</w:t>
      </w:r>
    </w:p>
    <w:p>
      <w:r>
        <w:rPr>
          <w:b/>
          <w:i w:val="0"/>
        </w:rPr>
        <w:t>Điều 1. Sửa đổi, bổ sung một số điều của Thông tư số 51/2021/TT-BTC ngày 30 tháng 6 năm 2021 của Bộ trưởng Bộ Tài chính hướng dẫn nghĩa vụ của tổ chức, cá nhân trong hoạt động đầu tư nước ngoài trên thị trường chứng khoán Việt Nam</w:t>
      </w:r>
    </w:p>
    <w:p>
      <w:r>
        <w:rPr>
          <w:b w:val="0"/>
          <w:i w:val="0"/>
        </w:rPr>
        <w:t>1. Sửa đổi, bổ sung khoản 1, khoản 3, khoản 4 Điều 3 như sau:</w:t>
      </w:r>
    </w:p>
    <w:p>
      <w:r>
        <w:rPr>
          <w:b w:val="0"/>
          <w:i w:val="0"/>
        </w:rPr>
        <w:t>“1. Nhà đầu tư nước ngoài thuộc trường hợp mở tài khoản vốn đầu tư gián tiếp theo quy định của pháp luật về quản lý ngoại hối mở tài khoản vốn đầu tư gián tiếp tại 01 ngân hàng lưu ký được phép kinh doanh ngoại hối để thực hiện hoạt động đầu tư trên thị trường chứng khoán Việt Nam. Tổ chức phát hành chứng chỉ lưu ký tại nước ngoài mở tài khoản vốn đầu tư gián tiếp tại 01 ngân hàng lưu ký được phép kinh doanh ngoại hối để thực hiện hoạt động phát hành, hủy chứng chỉ lưu ký và các hoạt động khác có liên quan theo quy định của pháp luật.</w:t>
      </w:r>
    </w:p>
    <w:p>
      <w:r>
        <w:rPr>
          <w:b w:val="0"/>
          <w:i w:val="0"/>
        </w:rPr>
        <w:t>3. Mọi hoạt động chuyển tiền để thực hiện các giao dịch, đầu tư, các thanhtoán khác liên quan đến hoạt động đầu tư chứng khoán của nhà đầu tư nước ngoàithuộc trường hợp mở tài khoản vốn đầu tư gián tiếp theo quy định của pháp luật vềquản lý ngoại hối và hoạt động của tổ chức phát hành chứng chỉ lưu ký tại nước ngoài, nhận và sử dụng cổ tức, lãi được chia, mua ngoại tệ để chuyển ra nướcngoài (nếu có) và các giao dịch khác có liên quan đều phải thực hiện thông qua tàikhoản vốn đầu tư gián tiếp.</w:t>
      </w:r>
    </w:p>
    <w:p>
      <w:r>
        <w:rPr>
          <w:b w:val="0"/>
          <w:i w:val="0"/>
        </w:rPr>
        <w:t>4. Việc mở, đóng, sử dụng, thay đổi tên gọi và quản lý tài khoản vốn đầu tư gián tiếp thực hiện theo pháp luật về quản lý ngoại hối”.</w:t>
      </w:r>
    </w:p>
    <w:p>
      <w:r>
        <w:rPr>
          <w:b w:val="0"/>
          <w:i w:val="0"/>
        </w:rPr>
        <w:t>2. Sửa đổi, bổ sung điểm b khoản 3 Điều 5 như sau:</w:t>
      </w:r>
    </w:p>
    <w:p>
      <w:r>
        <w:rPr>
          <w:b w:val="0"/>
          <w:i w:val="0"/>
        </w:rPr>
        <w:t>“b) Nhóm nhà đầu tư nước ngoài có liên quan có trách nhiệm chỉ định 01 thành viên lưu ký hoặc 01 công ty chứng khoán hoặc 01 công ty quản lý quỹ đầutư chứng khoán hoặc văn phòng đại diện của mình (nếu có) hoặc 01 tổ chức kháchoặc ủy quyền cho 01 cá nhân thực hiện nghĩa vụ báo cáo sở hữu, công bố thôngtin theo quy định của pháp luật về công bố thông tin trên thị trường chứng khoán;</w:t>
      </w:r>
    </w:p>
    <w:p>
      <w:r>
        <w:rPr>
          <w:b w:val="0"/>
          <w:i w:val="0"/>
        </w:rPr>
        <w:t>Thông báo về việc chỉ định hoặc thay đổi tổ chức, cá nhân thực hiện nghĩa vụbáo cáo sở hữu, công bố thông tin được lập theo mẫu quy định tại Phụ lục I banhành kèm theo Thông tư này phải gửi Ủy ban Chứng khoán Nhà nước, công ty concủa Sở giao dịch chứng khoán Việt Nam trong thời hạn 24 giờ kể từ khi việc chỉđịnh hoặc ủy quyền có hiệu lực kèm theo bản sao hợp lệ Giấy phép thành lập và hoạt động hoặc Giấy chứng nhận đăng ký doanh nghiệp hoặc Giấy chứng nhận đăng ký lập quỹ hoặc giấy tờ pháp lý có giá trị tương đương của tổ chức được chỉ định;hoặc kèm theo bản sao hợp lệ hộ chiếu còn hiệu lực hoặc chứng thực cá nhân hợp pháp khác đối với trường hợp cá nhân nước ngoài được ủy quyền.”.</w:t>
      </w:r>
    </w:p>
    <w:p>
      <w:r>
        <w:rPr>
          <w:b w:val="0"/>
          <w:i w:val="0"/>
        </w:rPr>
        <w:t>3. Sửa đổi, bổ sung khoản 10 Điều 7 như sau:</w:t>
      </w:r>
    </w:p>
    <w:p>
      <w:r>
        <w:rPr>
          <w:b w:val="0"/>
          <w:i w:val="0"/>
        </w:rPr>
        <w:t>“10. Các báo cáo theo quy định tại các khoản 1, 2, 3, 4, 5, 6, 7 Điều này được thực hiện bằng phương thức điện tử trên hệ thống quản lý hoạt động nhà đầu tư nước ngoài của Ủy ban Chứng khoán Nhà nước và phải được lưu trữ trong thời gian tối thiểu là 05 năm.</w:t>
      </w:r>
    </w:p>
    <w:p>
      <w:r>
        <w:rPr>
          <w:b w:val="0"/>
          <w:i w:val="0"/>
        </w:rPr>
        <w:t>Trường hợp không thể gửi báo cáo qua hệ thống quản lý hoạt động nhà đầu tưnước ngoài của Ủy ban Chứng khoán Nhà nước vì lý do bất khả kháng như hệthống mạng, máy chủ gặp sự cố, không thể sử dụng chứng thư số và các lý do bất khả kháng khác, các đối tượng báo cáo có trách nhiệm gửi báo cáo dưới hình thứcvăn bản giấy kèm theo tệp dữ liệu điện tử và thông báo cho Ủy ban Chứng khoánNhà nước lý do không thể thực hiện gửi báo cáo qua hệ thống. Ngay sau khi đã khắc phục được tình trạng bất khả kháng, đối tượng báo cáo có trách nhiệm báo cáo đầy đủ trên hệ thống quản lý hoạt động nhà đầu tư nước ngoài của Ủy ban Chứng khoán Nhà nước.”.</w:t>
      </w:r>
    </w:p>
    <w:p>
      <w:r>
        <w:rPr>
          <w:b/>
          <w:i w:val="0"/>
        </w:rPr>
        <w:t>Điều 2. Điều khoản thi hành</w:t>
      </w:r>
    </w:p>
    <w:p>
      <w:r>
        <w:rPr>
          <w:b w:val="0"/>
          <w:i w:val="0"/>
        </w:rPr>
        <w:t>1. Thông tư này có hiệu lực thi hành kể từ ngày 20 tháng 6 năm 2025.</w:t>
      </w:r>
    </w:p>
    <w:p>
      <w:r>
        <w:rPr>
          <w:b w:val="0"/>
          <w:i w:val="0"/>
        </w:rPr>
        <w:t>2. Ủy ban Chứng khoán Nhà nước, Tổng công ty Lưu ký và Bù trừ chứng khoánViệt Nam, Sở giao dịch chứng khoán Việt Nam và công ty con, công ty chứng khoán, công ty quản lý quỹ đầu tư chứng khoán, chi nhánh công ty quản lý quỹ nước ngoài tại Việt Nam, thành viên lưu ký, thành viên bù trừ, tổ chức phát hành chứng chỉ lưu ký tại nước ngoài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br/>
            </w:r>
            <w:r>
              <w:rPr>
                <w:b/>
                <w:i w:val="0"/>
              </w:rPr>
              <w:t>Trần Quốc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