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213/2005/QĐ-TTg Về việc phê duyệt điều chỉnh phương án sắp xếp, đổi mới một số công ty nhà nước  thuộc Uỷ ban nhân dân tỉnh Ninh Bình năm 2006</w:t>
      </w:r>
    </w:p>
    <w:p>
      <w:r>
        <w:rPr>
          <w:b w:val="0"/>
          <w:i w:val="0"/>
        </w:rPr>
        <w:br/>
      </w:r>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213/2005/QĐ-TTg</w:t>
        <w:br/>
        <w:t xml:space="preserve">     </w:t>
      </w:r>
      <w:r>
        <w:rPr>
          <w:b w:val="0"/>
          <w:i w:val="0"/>
        </w:rPr>
        <w:br/>
      </w:r>
      <w:r>
        <w:rPr>
          <w:b w:val="0"/>
          <w:i/>
        </w:rPr>
        <w:br/>
      </w:r>
      <w:r>
        <w:rPr>
          <w:b w:val="0"/>
          <w:i/>
        </w:rPr>
        <w:t>Hà Nội, ngày 30 tháng 8 năm 2005</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213/2005/QĐ-TTg</w:t>
        <w:br/>
        <w:t xml:space="preserve">     </w:t>
      </w:r>
      <w:r>
        <w:rPr>
          <w:b w:val="0"/>
          <w:i w:val="0"/>
        </w:rPr>
        <w:br/>
      </w:r>
      <w:r>
        <w:rPr>
          <w:b w:val="0"/>
          <w:i/>
        </w:rPr>
        <w:br/>
      </w:r>
      <w:r>
        <w:rPr>
          <w:b w:val="0"/>
          <w:i/>
        </w:rPr>
        <w:t>Hà Nội, ngày 30 tháng 8 năm 2005</w:t>
      </w:r>
      <w:r>
        <w:rPr>
          <w:b w:val="0"/>
          <w:i/>
        </w:rPr>
        <w:br/>
      </w:r>
      <w:r>
        <w:rPr>
          <w:b w:val="0"/>
          <w:i w:val="0"/>
        </w:rPr>
        <w:br/>
      </w:r>
      <w:r>
        <w:rPr>
          <w:b w:val="0"/>
          <w:i w:val="0"/>
        </w:rPr>
        <w:br/>
      </w:r>
    </w:p>
    <w:p>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THỦ TƯỚNG CHÍNH PHỦ</w:t>
        <w:br/>
        <w:t xml:space="preserve">      </w:t>
      </w:r>
      <w:r>
        <w:rPr>
          <w:b w:val="0"/>
          <w:i w:val="0"/>
        </w:rPr>
        <w:br/>
      </w:r>
      <w:r>
        <w:rPr>
          <w:b w:val="0"/>
          <w:i w:val="0"/>
        </w:rPr>
        <w:br/>
      </w:r>
    </w:p>
    <w:p>
      <w:r>
        <w:rPr>
          <w:b w:val="0"/>
          <w:i w:val="0"/>
        </w:rPr>
        <w:br/>
        <w:t xml:space="preserve">       THỦ TƯỚNG CHÍNH PHỦ</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213/2005/QĐ-TTg</w:t>
        <w:br/>
        <w:t xml:space="preserve">     </w:t>
      </w:r>
      <w:r>
        <w:rPr>
          <w:b w:val="0"/>
          <w:i w:val="0"/>
        </w:rPr>
        <w:br/>
      </w:r>
      <w:r>
        <w:rPr>
          <w:b w:val="0"/>
          <w:i/>
        </w:rPr>
        <w:br/>
      </w:r>
      <w:r>
        <w:rPr>
          <w:b w:val="0"/>
          <w:i/>
        </w:rPr>
        <w:t>Hà Nội, ngày 30 tháng 8 năm 2005</w:t>
      </w:r>
      <w:r>
        <w:rPr>
          <w:b w:val="0"/>
          <w:i/>
        </w:rPr>
        <w:br/>
      </w:r>
      <w:r>
        <w:rPr>
          <w:b w:val="0"/>
          <w:i w:val="0"/>
        </w:rPr>
        <w:br/>
      </w:r>
    </w:p>
    <w:p>
      <w:pPr>
        <w:jc w:val="center"/>
      </w:pPr>
      <w:r>
        <w:rPr>
          <w:b w:val="0"/>
          <w:i w:val="0"/>
        </w:rPr>
        <w:br/>
        <w:t xml:space="preserve">      Số: 213/2005/QĐ-TTg</w:t>
        <w:br/>
        <w:t xml:space="preserve">     </w:t>
      </w:r>
    </w:p>
    <w:p>
      <w:pPr>
        <w:jc w:val="center"/>
      </w:pPr>
      <w:r>
        <w:rPr>
          <w:b w:val="0"/>
          <w:i w:val="0"/>
        </w:rPr>
        <w:br/>
      </w:r>
      <w:r>
        <w:rPr>
          <w:b w:val="0"/>
          <w:i/>
        </w:rPr>
        <w:t>Hà Nội, ngày 30 tháng 8 năm 2005</w:t>
      </w:r>
      <w:r>
        <w:rPr>
          <w:b w:val="0"/>
          <w:i w:val="0"/>
        </w:rPr>
        <w:br/>
      </w:r>
    </w:p>
    <w:p>
      <w:r>
        <w:rPr>
          <w:b/>
          <w:i w:val="0"/>
        </w:rPr>
        <w:t>QUYẾT ĐỊNH CỦA THỦ TƯỚNG CHÍNH PHỦ</w:t>
      </w:r>
    </w:p>
    <w:p>
      <w:r>
        <w:rPr>
          <w:b/>
          <w:i/>
        </w:rPr>
        <w:t>Về việc phê duyệt điều chỉnh phương án sắp xếp, đổi mới một số công ty nhà nước thuộc Uỷ ban nhân dân tỉnh Ninh Bình năm 2006</w:t>
      </w:r>
    </w:p>
    <w:p>
      <w:r>
        <w:rPr>
          <w:b/>
          <w:i w:val="0"/>
        </w:rPr>
        <w:t>THỦ TƯỚNG CHÍNH PHỦ</w:t>
      </w:r>
    </w:p>
    <w:p>
      <w:r>
        <w:rPr>
          <w:b w:val="0"/>
          <w:i/>
        </w:rPr>
        <w:t>Căn cứ Luật Tổ chức Chính phủ ngày 25 tháng 12 năm 2001;</w:t>
      </w:r>
    </w:p>
    <w:p>
      <w:r>
        <w:rPr>
          <w:b w:val="0"/>
          <w:i/>
        </w:rPr>
        <w:t>Căn cứ Quyết định số 155/2004/QĐ-TTg ngày 24 tháng 8 năm 2004 của Thủ tướng Chính phủ về ban hành tiêu chí, danh mục phân loại công ty nhà nước và công ty thành viên hạch toán độc lập thuộc Tổng công ty nhà nước;</w:t>
      </w:r>
    </w:p>
    <w:p>
      <w:r>
        <w:rPr>
          <w:b w:val="0"/>
          <w:i/>
        </w:rPr>
        <w:t>Xét đề nghị của Uỷ ban nhân dân tỉnh Ninh Bình,</w:t>
      </w:r>
    </w:p>
    <w:p>
      <w:r>
        <w:rPr>
          <w:b/>
          <w:i w:val="0"/>
        </w:rPr>
        <w:t>QUYẾT ĐỊNH:</w:t>
      </w:r>
    </w:p>
    <w:p>
      <w:r>
        <w:rPr>
          <w:b/>
          <w:i w:val="0"/>
        </w:rPr>
        <w:t xml:space="preserve">Điều 1. </w:t>
      </w:r>
      <w:r>
        <w:rPr>
          <w:b w:val="0"/>
          <w:i w:val="0"/>
        </w:rPr>
        <w:t>Phê duyệt điều chỉnh phương án sắp xếp, đổi mới một số công ty nhà nước thuộc Uỷ ban nhân dân tỉnh Ninh Bình như sau:</w:t>
      </w:r>
    </w:p>
    <w:p>
      <w:r>
        <w:rPr>
          <w:b w:val="0"/>
          <w:i w:val="0"/>
        </w:rPr>
        <w:t>1. Hợp nhất 6 Công ty Khai thác công trình thuỷ lợi: Yên Mô, Yên Khánh, Nho Quan, Gia Viễn, Kim Sơn, Hoa Lư thành Công ty Khai thác công trình thuỷ lợi Ninh Bình, Nhà nước giữ 100% vốn.</w:t>
      </w:r>
    </w:p>
    <w:p>
      <w:r>
        <w:rPr>
          <w:b w:val="0"/>
          <w:i w:val="0"/>
        </w:rPr>
        <w:t>2. Thực hiện cổ phần hóa, trong đó:</w:t>
      </w:r>
    </w:p>
    <w:p>
      <w:r>
        <w:rPr>
          <w:b w:val="0"/>
          <w:i w:val="0"/>
        </w:rPr>
        <w:t>- Nhà nước giữ trên 50% vốn điều lệ: Công ty Cấp nước Ninh Bình.</w:t>
      </w:r>
    </w:p>
    <w:p>
      <w:r>
        <w:rPr>
          <w:b w:val="0"/>
          <w:i w:val="0"/>
        </w:rPr>
        <w:t>- Nhà nước giữ cổ phần ở mức thấp hoặc không giữ cổ phần:</w:t>
      </w:r>
    </w:p>
    <w:p>
      <w:r>
        <w:rPr>
          <w:b w:val="0"/>
          <w:i w:val="0"/>
        </w:rPr>
        <w:t>+ Công ty Sản xuất, xuất nhập khẩu Ninh Bình;</w:t>
      </w:r>
    </w:p>
    <w:p>
      <w:r>
        <w:rPr>
          <w:b w:val="0"/>
          <w:i w:val="0"/>
        </w:rPr>
        <w:t>+ Xí nghiệp In Ninh Bình.</w:t>
      </w:r>
    </w:p>
    <w:p>
      <w:r>
        <w:rPr>
          <w:b/>
          <w:i w:val="0"/>
        </w:rPr>
        <w:t xml:space="preserve">Điều 2. </w:t>
      </w:r>
      <w:r>
        <w:rPr>
          <w:b w:val="0"/>
          <w:i w:val="0"/>
        </w:rPr>
        <w:t>Chủ tịch Uỷ ban nhân dân tỉnh Ninh Bình:</w:t>
      </w:r>
    </w:p>
    <w:p>
      <w:r>
        <w:rPr>
          <w:b w:val="0"/>
          <w:i w:val="0"/>
        </w:rPr>
        <w:t>1. Chỉ đạo thực hiện việc sắp xếp, đổi mới doanh nghiệp nhà nước trực thuộc tỉnh đã được phê duyệt tại Quyết định số 395/QĐ-TTg ngày 10 tháng 4 năm 2003 của Thủ tướng Chính phủ và Quyết định này.</w:t>
      </w:r>
    </w:p>
    <w:p>
      <w:r>
        <w:rPr>
          <w:b w:val="0"/>
          <w:i w:val="0"/>
        </w:rPr>
        <w:t>Đối với những doanh nghiệp không cổ phần hóa được thì chủ động chuyển sang một trong các hình thức: giao, bán hoặc giải thể, phá sản theo quy định hiện hành và báo cáo Thủ tướng Chính phủ.</w:t>
      </w:r>
    </w:p>
    <w:p>
      <w:r>
        <w:rPr>
          <w:b w:val="0"/>
          <w:i w:val="0"/>
        </w:rPr>
        <w:t>2. Chỉ đạo xây dựng Đề án sắp xếp các nông trường quốc doanh theo quy định tại Nghị định số 170/2004/NĐ-CP ngày 22 tháng 9 năm 2004 của Chính phủ về sắp xếp, đổi mới và phát triển nông trường quốc doanh.</w:t>
      </w:r>
    </w:p>
    <w:p>
      <w:r>
        <w:rPr>
          <w:b/>
          <w:i w:val="0"/>
        </w:rPr>
        <w:t xml:space="preserve">Điều 3. </w:t>
      </w:r>
      <w:r>
        <w:rPr>
          <w:b w:val="0"/>
          <w:i w:val="0"/>
        </w:rPr>
        <w:t>Quyết định này có hiệu lực sau 15 ngày, kể từ ngày đăng Công báo.</w:t>
      </w:r>
    </w:p>
    <w:p>
      <w:r>
        <w:rPr>
          <w:b w:val="0"/>
          <w:i w:val="0"/>
        </w:rPr>
        <w:t>Chủ tịch Uỷ ban nhân dân tỉnh Ninh Bình và Thủ trưởng các cơ quan liên quan chịu trách nhiệm thi hành Quyết định này./.</w:t>
      </w:r>
    </w:p>
    <w:p>
      <w:r>
        <w:rPr>
          <w:b w:val="0"/>
          <w:i w:val="0"/>
        </w:rPr>
        <w:br/>
      </w:r>
      <w:r>
        <w:rPr>
          <w:b w:val="0"/>
          <w:i w:val="0"/>
        </w:rPr>
        <w:br/>
      </w:r>
      <w:r>
        <w:rPr>
          <w:b/>
          <w:i w:val="0"/>
        </w:rPr>
        <w:br/>
      </w:r>
      <w:r>
        <w:rPr>
          <w:b/>
          <w:i w:val="0"/>
        </w:rPr>
        <w:br/>
        <w:t xml:space="preserve">      THỦ TƯỚNG </w:t>
        <w:br/>
        <w:t xml:space="preserve">     </w:t>
      </w:r>
      <w:r>
        <w:rPr>
          <w:b/>
          <w:i w:val="0"/>
        </w:rPr>
        <w:br/>
      </w:r>
      <w:r>
        <w:rPr>
          <w:b/>
          <w:i/>
        </w:rPr>
        <w:br/>
        <w:t xml:space="preserve">      (Đã ký)</w:t>
        <w:br/>
        <w:t xml:space="preserve">     </w:t>
      </w:r>
      <w:r>
        <w:rPr>
          <w:b/>
          <w:i w:val="0"/>
        </w:rPr>
        <w:br/>
      </w:r>
      <w:r>
        <w:rPr>
          <w:b/>
          <w:i w:val="0"/>
        </w:rPr>
        <w:br/>
        <w:t xml:space="preserve">      Nguyễn Tấn Dũng</w:t>
        <w:br/>
        <w:t xml:space="preserve">     </w:t>
      </w:r>
      <w:r>
        <w:rPr>
          <w:b/>
          <w:i w:val="0"/>
        </w:rPr>
        <w:br/>
      </w:r>
      <w:r>
        <w:rPr>
          <w:b w:val="0"/>
          <w:i w:val="0"/>
        </w:rPr>
        <w:br/>
      </w:r>
      <w:r>
        <w:rPr>
          <w:b w:val="0"/>
          <w:i w:val="0"/>
        </w:rPr>
        <w:br/>
      </w:r>
    </w:p>
    <w:p>
      <w:r>
        <w:rPr>
          <w:b w:val="0"/>
          <w:i w:val="0"/>
        </w:rPr>
        <w:br/>
      </w:r>
      <w:r>
        <w:rPr>
          <w:b/>
          <w:i w:val="0"/>
        </w:rPr>
        <w:br/>
      </w:r>
      <w:r>
        <w:rPr>
          <w:b/>
          <w:i w:val="0"/>
        </w:rPr>
        <w:br/>
        <w:t xml:space="preserve">      THỦ TƯỚNG </w:t>
        <w:br/>
        <w:t xml:space="preserve">     </w:t>
      </w:r>
      <w:r>
        <w:rPr>
          <w:b/>
          <w:i w:val="0"/>
        </w:rPr>
        <w:br/>
      </w:r>
      <w:r>
        <w:rPr>
          <w:b/>
          <w:i/>
        </w:rPr>
        <w:br/>
        <w:t xml:space="preserve">      (Đã ký)</w:t>
        <w:br/>
        <w:t xml:space="preserve">     </w:t>
      </w:r>
      <w:r>
        <w:rPr>
          <w:b/>
          <w:i w:val="0"/>
        </w:rPr>
        <w:br/>
      </w:r>
      <w:r>
        <w:rPr>
          <w:b/>
          <w:i w:val="0"/>
        </w:rPr>
        <w:br/>
        <w:t xml:space="preserve">      Nguyễn Tấn Dũng</w:t>
        <w:br/>
        <w:t xml:space="preserve">     </w:t>
      </w:r>
      <w:r>
        <w:rPr>
          <w:b/>
          <w:i w:val="0"/>
        </w:rPr>
        <w:br/>
      </w:r>
      <w:r>
        <w:rPr>
          <w:b w:val="0"/>
          <w:i w:val="0"/>
        </w:rPr>
        <w:br/>
      </w:r>
    </w:p>
    <w:p>
      <w:pPr>
        <w:jc w:val="center"/>
      </w:pPr>
      <w:r>
        <w:rPr>
          <w:b w:val="0"/>
          <w:i w:val="0"/>
        </w:rPr>
        <w:br/>
      </w:r>
      <w:r>
        <w:rPr>
          <w:b/>
          <w:i w:val="0"/>
        </w:rPr>
        <w:br/>
        <w:t xml:space="preserve">      THỦ TƯỚNG </w:t>
        <w:br/>
        <w:t xml:space="preserve">     </w:t>
      </w:r>
      <w:r>
        <w:rPr>
          <w:b w:val="0"/>
          <w:i w:val="0"/>
        </w:rPr>
        <w:br/>
      </w:r>
      <w:r>
        <w:rPr>
          <w:b/>
          <w:i/>
        </w:rPr>
        <w:br/>
        <w:t xml:space="preserve">      (Đã ký)</w:t>
        <w:br/>
        <w:t xml:space="preserve">     </w:t>
      </w:r>
      <w:r>
        <w:rPr>
          <w:b w:val="0"/>
          <w:i w:val="0"/>
        </w:rPr>
        <w:br/>
      </w:r>
      <w:r>
        <w:rPr>
          <w:b/>
          <w:i w:val="0"/>
        </w:rPr>
        <w:br/>
        <w:t xml:space="preserve">      Nguyễn Tấn Dũng</w:t>
        <w:br/>
        <w:t xml:space="preserve">     </w:t>
      </w:r>
      <w:r>
        <w:rPr>
          <w:b w:val="0"/>
          <w:i w:val="0"/>
        </w:rPr>
        <w:br/>
      </w:r>
    </w:p>
    <w:p>
      <w:r>
        <w:rPr>
          <w:b w:val="0"/>
          <w:i w:val="0"/>
        </w:rPr>
        <w:br/>
        <w:t xml:space="preserve">      THỦ TƯỚNG </w:t>
        <w:br/>
        <w:t xml:space="preserve">     </w:t>
      </w:r>
    </w:p>
    <w:p>
      <w:r>
        <w:rPr>
          <w:b w:val="0"/>
          <w:i w:val="0"/>
        </w:rPr>
        <w:br/>
        <w:t xml:space="preserve">      (Đã ký)</w:t>
        <w:br/>
        <w:t xml:space="preserve">     </w:t>
      </w:r>
    </w:p>
    <w:p>
      <w:r>
        <w:rPr>
          <w:b w:val="0"/>
          <w:i w:val="0"/>
        </w:rPr>
        <w:br/>
        <w:t xml:space="preserve">      Nguyễn Tấn Dũng</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