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21/2001/QĐ-UB Về việc phê duyệt điều chỉnh quy hoạch chi tiết khu trung tâm Cầu Sắt - thành phố Pleiku</w:t>
      </w:r>
    </w:p>
    <w:p>
      <w:pPr>
        <w:jc w:val="center"/>
      </w:pP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21/2001/QĐ-UB</w:t>
      </w:r>
      <w:r>
        <w:rPr>
          <w:b w:val="0"/>
          <w:i w:val="0"/>
        </w:rPr>
        <w:br/>
      </w:r>
      <w:r>
        <w:rPr>
          <w:b w:val="0"/>
          <w:i w:val="0"/>
        </w:rPr>
        <w:br/>
      </w:r>
      <w:r>
        <w:rPr>
          <w:b w:val="0"/>
          <w:i/>
        </w:rPr>
        <w:br/>
      </w:r>
      <w:r>
        <w:rPr>
          <w:b w:val="0"/>
          <w:i/>
        </w:rPr>
        <w:t>Pleiku, ngày 28 tháng 3 năm 2001</w:t>
      </w:r>
      <w:r>
        <w:rPr>
          <w:b w:val="0"/>
          <w:i/>
        </w:rPr>
        <w:br/>
      </w:r>
      <w:r>
        <w:rPr>
          <w:b w:val="0"/>
          <w:i w:val="0"/>
        </w:rPr>
        <w:br/>
      </w:r>
      <w:r>
        <w:rPr>
          <w:b w:val="0"/>
          <w:i w:val="0"/>
        </w:rPr>
        <w:br/>
      </w:r>
    </w:p>
    <w:p>
      <w:pPr>
        <w:jc w:val="center"/>
      </w:pP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pPr>
        <w:jc w:val="center"/>
      </w:pPr>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val="0"/>
          <w:i w:val="0"/>
        </w:rPr>
        <w:br/>
      </w:r>
      <w:r>
        <w:rPr>
          <w:b w:val="0"/>
          <w:i w:val="0"/>
        </w:rPr>
        <w:br/>
      </w:r>
      <w:r>
        <w:rPr>
          <w:b w:val="0"/>
          <w:i w:val="0"/>
        </w:rPr>
        <w:t>Số: 21/2001/QĐ-UB</w:t>
      </w:r>
      <w:r>
        <w:rPr>
          <w:b w:val="0"/>
          <w:i w:val="0"/>
        </w:rPr>
        <w:br/>
      </w:r>
      <w:r>
        <w:rPr>
          <w:b w:val="0"/>
          <w:i w:val="0"/>
        </w:rPr>
        <w:br/>
      </w:r>
      <w:r>
        <w:rPr>
          <w:b w:val="0"/>
          <w:i/>
        </w:rPr>
        <w:br/>
      </w:r>
      <w:r>
        <w:rPr>
          <w:b w:val="0"/>
          <w:i/>
        </w:rPr>
        <w:t>Pleiku, ngày 28 tháng 3 năm 2001</w:t>
      </w:r>
      <w:r>
        <w:rPr>
          <w:b w:val="0"/>
          <w:i/>
        </w:rPr>
        <w:br/>
      </w:r>
      <w:r>
        <w:rPr>
          <w:b w:val="0"/>
          <w:i w:val="0"/>
        </w:rPr>
        <w:br/>
      </w:r>
    </w:p>
    <w:p>
      <w:pPr>
        <w:jc w:val="center"/>
      </w:pPr>
      <w:r>
        <w:rPr>
          <w:b w:val="0"/>
          <w:i w:val="0"/>
        </w:rPr>
        <w:br/>
      </w:r>
      <w:r>
        <w:rPr>
          <w:b w:val="0"/>
          <w:i w:val="0"/>
        </w:rPr>
        <w:t>Số: 21/2001/QĐ-UB</w:t>
      </w:r>
      <w:r>
        <w:rPr>
          <w:b w:val="0"/>
          <w:i w:val="0"/>
        </w:rPr>
        <w:br/>
      </w:r>
    </w:p>
    <w:p>
      <w:pPr>
        <w:jc w:val="center"/>
      </w:pPr>
      <w:r>
        <w:rPr>
          <w:b w:val="0"/>
          <w:i w:val="0"/>
        </w:rPr>
        <w:br/>
      </w:r>
      <w:r>
        <w:rPr>
          <w:b w:val="0"/>
          <w:i w:val="0"/>
        </w:rPr>
        <w:t>Pleiku, ngày 28 tháng 3 năm 2001</w:t>
      </w:r>
      <w:r>
        <w:rPr>
          <w:b w:val="0"/>
          <w:i w:val="0"/>
        </w:rPr>
        <w:br/>
      </w:r>
    </w:p>
    <w:p>
      <w:pPr>
        <w:jc w:val="center"/>
      </w:pPr>
      <w:r>
        <w:rPr>
          <w:b/>
          <w:i w:val="0"/>
        </w:rPr>
        <w:t>QUYẾT ĐỊNH</w:t>
      </w:r>
      <w:r>
        <w:br/>
      </w:r>
      <w:r>
        <w:rPr>
          <w:b/>
          <w:i w:val="0"/>
        </w:rPr>
        <w:t>CỦA ỦY BAN NHÂN DÂN TỈNH GIA LAI</w:t>
      </w:r>
      <w:r>
        <w:br/>
      </w:r>
      <w:r>
        <w:rPr>
          <w:b/>
          <w:i w:val="0"/>
        </w:rPr>
        <w:t xml:space="preserve">Về việc phê duyệt điều chỉnh quy hoạch chi tiết khu trung tâm Cầu Sắt - </w:t>
      </w:r>
      <w:r>
        <w:br/>
      </w:r>
      <w:r>
        <w:rPr>
          <w:b/>
          <w:i w:val="0"/>
        </w:rPr>
        <w:br/>
        <w:t xml:space="preserve">      thành phố Pleiku</w:t>
      </w:r>
    </w:p>
    <w:p>
      <w:pPr>
        <w:jc w:val="center"/>
      </w:pPr>
      <w:r>
        <w:rPr>
          <w:b w:val="0"/>
          <w:i w:val="0"/>
        </w:rPr>
        <w:t>________________________</w:t>
      </w:r>
    </w:p>
    <w:p>
      <w:pPr>
        <w:jc w:val="center"/>
      </w:pPr>
      <w:r>
        <w:rPr>
          <w:b/>
          <w:i w:val="0"/>
        </w:rPr>
        <w:t>ỦY BAN NHÂN DÂN TỈNH GIA LAI</w:t>
      </w:r>
    </w:p>
    <w:p>
      <w:pPr>
        <w:jc w:val="both"/>
      </w:pPr>
      <w:r>
        <w:rPr>
          <w:b w:val="0"/>
          <w:i/>
        </w:rPr>
        <w:t xml:space="preserve">- Căn cứ Luật Tổ chức HĐND và UBND ban hành ngày 21-6-1994; </w:t>
      </w:r>
    </w:p>
    <w:p>
      <w:pPr>
        <w:jc w:val="both"/>
      </w:pPr>
      <w:r>
        <w:rPr>
          <w:b w:val="0"/>
          <w:i/>
        </w:rPr>
        <w:t>- Căn cứ Nghị định số 91/CP ngày 17-8-1994 của Chính phủ về việc ban hành Điều lệ quản lý quy hoạch đô thị;</w:t>
      </w:r>
    </w:p>
    <w:p>
      <w:pPr>
        <w:jc w:val="both"/>
      </w:pPr>
      <w:r>
        <w:rPr>
          <w:b w:val="0"/>
          <w:i/>
        </w:rPr>
        <w:t>- Căn cứ quy hoạch chung thành phố Pleiku được phê duyệt tại Quyết định số 198/QĐ-UB ngày 11-3-1997 của Ủy ban nhân dân tỉnh Gia Lai.</w:t>
      </w:r>
    </w:p>
    <w:p>
      <w:pPr>
        <w:jc w:val="both"/>
      </w:pPr>
      <w:r>
        <w:rPr>
          <w:b w:val="0"/>
          <w:i/>
        </w:rPr>
        <w:t>- Xét hồ sơ thiết kế điều chỉnh quy hoạch chi tiết và Tờ trình số 58/TT-XD ngày 13 tháng 3 năm 2001 của Giám đốc Sở Xây dựng;</w:t>
      </w:r>
    </w:p>
    <w:p>
      <w:pPr>
        <w:jc w:val="center"/>
      </w:pPr>
      <w:r>
        <w:rPr>
          <w:b/>
          <w:i w:val="0"/>
        </w:rPr>
        <w:t>QUYẾT ĐỊNH</w:t>
      </w:r>
    </w:p>
    <w:p>
      <w:pPr>
        <w:jc w:val="both"/>
      </w:pPr>
      <w:r>
        <w:rPr>
          <w:b/>
          <w:i w:val="0"/>
        </w:rPr>
        <w:t xml:space="preserve">Điều 1: </w:t>
      </w:r>
      <w:r>
        <w:rPr>
          <w:b w:val="0"/>
          <w:i w:val="0"/>
        </w:rPr>
        <w:t>Nay phê duyệt đồ án thiết kế điều chỉnh quy hoạch chi tiết khu trung tâm Cầu Sắt thành phố Pleiku với những nội dung chủ yếu sau:</w:t>
      </w:r>
    </w:p>
    <w:p>
      <w:pPr>
        <w:jc w:val="both"/>
      </w:pPr>
      <w:r>
        <w:rPr>
          <w:b/>
          <w:i w:val="0"/>
        </w:rPr>
        <w:t xml:space="preserve">1. Phạm vi ranh giới lập điều chỉnh quy hoạch chi tiết: </w:t>
      </w:r>
    </w:p>
    <w:p>
      <w:pPr>
        <w:jc w:val="both"/>
      </w:pPr>
      <w:r>
        <w:rPr>
          <w:b w:val="0"/>
          <w:i w:val="0"/>
        </w:rPr>
        <w:t>Khu trung tâm Cầu Sắt phạm vi điều chỉnh quy hoạch diện tích 34,04 ha thay cho quy hoạch chi tiết trước đây là 76,8 ha.</w:t>
      </w:r>
    </w:p>
    <w:p>
      <w:pPr>
        <w:jc w:val="both"/>
      </w:pPr>
      <w:r>
        <w:rPr>
          <w:b w:val="0"/>
          <w:i w:val="0"/>
        </w:rPr>
        <w:t>Giới cận được xác định như sau:</w:t>
      </w:r>
    </w:p>
    <w:p>
      <w:pPr>
        <w:jc w:val="both"/>
      </w:pPr>
      <w:r>
        <w:rPr>
          <w:b w:val="0"/>
          <w:i w:val="0"/>
        </w:rPr>
        <w:t xml:space="preserve">+ Phía Bắc: Giáp khu đất quân sự, xã Trà Đa, làng Pleiốp. </w:t>
      </w:r>
    </w:p>
    <w:p>
      <w:pPr>
        <w:jc w:val="both"/>
      </w:pPr>
      <w:r>
        <w:rPr>
          <w:b w:val="0"/>
          <w:i w:val="0"/>
        </w:rPr>
        <w:t>+ Phía Nam: Giáp khu dân cư hiện hữu và ruộng lúa.</w:t>
      </w:r>
    </w:p>
    <w:p>
      <w:pPr>
        <w:jc w:val="both"/>
      </w:pPr>
      <w:r>
        <w:rPr>
          <w:b w:val="0"/>
          <w:i w:val="0"/>
        </w:rPr>
        <w:t>+ Phía Tây: Giáp khu dân cư phường Hoa Lư.</w:t>
      </w:r>
    </w:p>
    <w:p>
      <w:pPr>
        <w:jc w:val="both"/>
      </w:pPr>
      <w:r>
        <w:rPr>
          <w:b w:val="0"/>
          <w:i w:val="0"/>
        </w:rPr>
        <w:t>+ Phía Đông: Giáp khu đất quân sự (QĐ III).</w:t>
      </w:r>
    </w:p>
    <w:p>
      <w:pPr>
        <w:jc w:val="both"/>
      </w:pPr>
      <w:r>
        <w:rPr>
          <w:b/>
          <w:i w:val="0"/>
        </w:rPr>
        <w:t xml:space="preserve">2. Tính chất: </w:t>
      </w:r>
    </w:p>
    <w:p>
      <w:pPr>
        <w:jc w:val="both"/>
      </w:pPr>
      <w:r>
        <w:rPr>
          <w:b w:val="0"/>
          <w:i w:val="0"/>
        </w:rPr>
        <w:t>Là một trong những khu trung tâm dịch vụ, y tế, văn hoá, nghỉ ngơi giải trí và các công trình công cộng khác gắn với việc phát triển khu ở phục vụ khu dân cư mới của thành phố Pleiku, theo quy hoạch chung đã được xác định.</w:t>
      </w:r>
    </w:p>
    <w:p>
      <w:pPr>
        <w:jc w:val="both"/>
      </w:pPr>
      <w:r>
        <w:rPr>
          <w:b/>
          <w:i w:val="0"/>
        </w:rPr>
        <w:t xml:space="preserve">3. Quy hoạch sử dụng đất đai: </w:t>
      </w:r>
    </w:p>
    <w:p>
      <w:pPr>
        <w:jc w:val="both"/>
      </w:pPr>
      <w:r>
        <w:rPr>
          <w:b w:val="0"/>
          <w:i w:val="0"/>
        </w:rPr>
        <w:t>Điều chỉnh quy hoạch 34,04 ha phân khu chức năng như sau:</w:t>
      </w:r>
    </w:p>
    <w:p>
      <w:pPr>
        <w:jc w:val="both"/>
      </w:pPr>
      <w:r>
        <w:rPr>
          <w:b w:val="0"/>
          <w:i w:val="0"/>
        </w:rPr>
        <w:t>- Đất xây dựng nhà ở: 10,3 ha gồm:</w:t>
      </w:r>
    </w:p>
    <w:p>
      <w:pPr>
        <w:jc w:val="both"/>
      </w:pPr>
      <w:r>
        <w:rPr>
          <w:b w:val="0"/>
          <w:i w:val="0"/>
        </w:rPr>
        <w:t>+ Nhà lô phố: 615 lô có diện tích từ 90 - 125 m2. (Có tổng diện tích 7,0 ha).</w:t>
      </w:r>
    </w:p>
    <w:p>
      <w:pPr>
        <w:jc w:val="both"/>
      </w:pPr>
      <w:r>
        <w:rPr>
          <w:b w:val="0"/>
          <w:i w:val="0"/>
        </w:rPr>
        <w:t>+ Nhà vườn: 77 lô có diện tích. (Có tổng diện tích 2,2 ha).</w:t>
      </w:r>
    </w:p>
    <w:p>
      <w:pPr>
        <w:jc w:val="both"/>
      </w:pPr>
      <w:r>
        <w:rPr>
          <w:b w:val="0"/>
          <w:i w:val="0"/>
        </w:rPr>
        <w:t>+ Chung cư: 3 chung cư 3 - 4 tầng (Có tổng diện tích 1,1 ha).</w:t>
      </w:r>
    </w:p>
    <w:p>
      <w:pPr>
        <w:jc w:val="both"/>
      </w:pPr>
      <w:r>
        <w:rPr>
          <w:b w:val="0"/>
          <w:i w:val="0"/>
        </w:rPr>
        <w:t>- Đất khu công trình công cộng: 11,7 ha gồm:</w:t>
      </w:r>
    </w:p>
    <w:p>
      <w:pPr>
        <w:jc w:val="both"/>
      </w:pPr>
      <w:r>
        <w:rPr>
          <w:b w:val="0"/>
          <w:i w:val="0"/>
        </w:rPr>
        <w:t>+ Bệnh viện + khu nhà ở công nhân viên: 5,5 ha.</w:t>
      </w:r>
    </w:p>
    <w:p>
      <w:pPr>
        <w:jc w:val="both"/>
      </w:pPr>
      <w:r>
        <w:rPr>
          <w:b w:val="0"/>
          <w:i w:val="0"/>
        </w:rPr>
        <w:t>+ Trung tâm sinh hoạt thanh niên: 3 ha.</w:t>
      </w:r>
    </w:p>
    <w:p>
      <w:pPr>
        <w:jc w:val="both"/>
      </w:pPr>
      <w:r>
        <w:rPr>
          <w:b w:val="0"/>
          <w:i w:val="0"/>
        </w:rPr>
        <w:t>+ Khu tổng hợp văn phòng + khách sạn: 0,9 ha.</w:t>
      </w:r>
    </w:p>
    <w:p>
      <w:pPr>
        <w:jc w:val="both"/>
      </w:pPr>
      <w:r>
        <w:rPr>
          <w:b w:val="0"/>
          <w:i w:val="0"/>
        </w:rPr>
        <w:t>+ Cửa hàng bách hoá tổng hợp: 0,83 ha.</w:t>
      </w:r>
    </w:p>
    <w:p>
      <w:pPr>
        <w:jc w:val="both"/>
      </w:pPr>
      <w:r>
        <w:rPr>
          <w:b w:val="0"/>
          <w:i w:val="0"/>
        </w:rPr>
        <w:t>+ Trường tiểu học: 0,5 ha.</w:t>
      </w:r>
    </w:p>
    <w:p>
      <w:pPr>
        <w:jc w:val="both"/>
      </w:pPr>
      <w:r>
        <w:rPr>
          <w:b w:val="0"/>
          <w:i w:val="0"/>
        </w:rPr>
        <w:t>+ Vườn thuốc đông y: 0,7 ha.</w:t>
      </w:r>
    </w:p>
    <w:p>
      <w:pPr>
        <w:jc w:val="both"/>
      </w:pPr>
      <w:r>
        <w:rPr>
          <w:b w:val="0"/>
          <w:i w:val="0"/>
        </w:rPr>
        <w:t>+ Chợ khu vực: 0,65 ha.</w:t>
      </w:r>
    </w:p>
    <w:p>
      <w:pPr>
        <w:jc w:val="both"/>
      </w:pPr>
      <w:r>
        <w:rPr>
          <w:b w:val="0"/>
          <w:i w:val="0"/>
        </w:rPr>
        <w:t>+ Nhà trẻ: 0,24 ha.</w:t>
      </w:r>
    </w:p>
    <w:p>
      <w:pPr>
        <w:jc w:val="both"/>
      </w:pPr>
      <w:r>
        <w:rPr>
          <w:b w:val="0"/>
          <w:i w:val="0"/>
        </w:rPr>
        <w:t>+ UBND phường và Công an khu vực: 0,7 ha.</w:t>
      </w:r>
    </w:p>
    <w:p>
      <w:pPr>
        <w:jc w:val="both"/>
      </w:pPr>
      <w:r>
        <w:rPr>
          <w:b w:val="0"/>
          <w:i w:val="0"/>
        </w:rPr>
        <w:t>- Các dịch vụ phục vụ cho bệnh viện có vị trí đối với cổng bệnh viện gồm:</w:t>
      </w:r>
    </w:p>
    <w:p>
      <w:pPr>
        <w:jc w:val="both"/>
      </w:pPr>
      <w:r>
        <w:rPr>
          <w:b w:val="0"/>
          <w:i w:val="0"/>
        </w:rPr>
        <w:t>+ Kiốt sách báo: 20 m2</w:t>
      </w:r>
    </w:p>
    <w:p>
      <w:pPr>
        <w:jc w:val="both"/>
      </w:pPr>
      <w:r>
        <w:rPr>
          <w:b w:val="0"/>
          <w:i w:val="0"/>
        </w:rPr>
        <w:t>+ Kiốt Bưu điện: 20 m2</w:t>
      </w:r>
    </w:p>
    <w:p>
      <w:pPr>
        <w:jc w:val="both"/>
      </w:pPr>
      <w:r>
        <w:rPr>
          <w:b w:val="0"/>
          <w:i w:val="0"/>
        </w:rPr>
        <w:t>+ Cửa hàng dược: 60 m2</w:t>
      </w:r>
    </w:p>
    <w:p>
      <w:pPr>
        <w:jc w:val="both"/>
      </w:pPr>
      <w:r>
        <w:rPr>
          <w:b w:val="0"/>
          <w:i w:val="0"/>
        </w:rPr>
        <w:t>+ Cửa hàng tạp hoá: 60 m2</w:t>
      </w:r>
    </w:p>
    <w:p>
      <w:pPr>
        <w:jc w:val="both"/>
      </w:pPr>
      <w:r>
        <w:rPr>
          <w:b w:val="0"/>
          <w:i w:val="0"/>
        </w:rPr>
        <w:t>- Cây xanh: 6,8 ha</w:t>
      </w:r>
    </w:p>
    <w:p>
      <w:pPr>
        <w:jc w:val="both"/>
      </w:pPr>
      <w:r>
        <w:rPr>
          <w:b w:val="0"/>
          <w:i w:val="0"/>
        </w:rPr>
        <w:t>- Đất giao thông: 5,24 ha</w:t>
      </w:r>
    </w:p>
    <w:p>
      <w:pPr>
        <w:jc w:val="both"/>
      </w:pPr>
      <w:r>
        <w:rPr>
          <w:b w:val="0"/>
          <w:i w:val="0"/>
        </w:rPr>
        <w:t>Cơ cấu sử dụng đất đai:</w:t>
      </w:r>
    </w:p>
    <w:p>
      <w:pPr>
        <w:jc w:val="both"/>
      </w:pPr>
      <w:r>
        <w:rPr>
          <w:b w:val="0"/>
          <w:i w:val="0"/>
        </w:rPr>
        <w:t>- Đất ở: 10,3 ha chiếm tỷ lệ: 30,2%</w:t>
      </w:r>
    </w:p>
    <w:p>
      <w:pPr>
        <w:jc w:val="both"/>
      </w:pPr>
      <w:r>
        <w:rPr>
          <w:b w:val="0"/>
          <w:i w:val="0"/>
        </w:rPr>
        <w:t>- Đất công trình công cộng: 11,7 ha chiếm tỷ lệ 34,4%</w:t>
      </w:r>
    </w:p>
    <w:p>
      <w:pPr>
        <w:jc w:val="both"/>
      </w:pPr>
      <w:r>
        <w:rPr>
          <w:b w:val="0"/>
          <w:i w:val="0"/>
        </w:rPr>
        <w:t>- Đất giao thông: 5,24 ha</w:t>
      </w:r>
    </w:p>
    <w:p>
      <w:pPr>
        <w:jc w:val="both"/>
      </w:pPr>
      <w:r>
        <w:rPr>
          <w:b w:val="0"/>
          <w:i w:val="0"/>
        </w:rPr>
        <w:t>- Đất cây xanh: 6,8 ha chiếm tỷ lệ 20%.</w:t>
      </w:r>
    </w:p>
    <w:p>
      <w:pPr>
        <w:jc w:val="both"/>
      </w:pPr>
      <w:r>
        <w:rPr>
          <w:b/>
          <w:i w:val="0"/>
        </w:rPr>
        <w:t>Cộng: 34,04 ha chiếm tỷ lệ 100%</w:t>
      </w:r>
    </w:p>
    <w:p>
      <w:pPr>
        <w:jc w:val="both"/>
      </w:pPr>
      <w:r>
        <w:rPr>
          <w:b/>
          <w:i w:val="0"/>
        </w:rPr>
        <w:t xml:space="preserve">4. Định hướng kiến trúc cảnh quan đô thị: </w:t>
      </w:r>
    </w:p>
    <w:p>
      <w:pPr>
        <w:jc w:val="both"/>
      </w:pPr>
      <w:r>
        <w:rPr>
          <w:b w:val="0"/>
          <w:i w:val="0"/>
        </w:rPr>
        <w:t>- Các công trình công cộng được thiết kế xây dựng theo hướng hiện đại kết hợp với các giải pháp mang tính dân tộc và hoà hợp với cảnh quan thiên nhiên.</w:t>
      </w:r>
    </w:p>
    <w:p>
      <w:pPr>
        <w:jc w:val="both"/>
      </w:pPr>
      <w:r>
        <w:rPr>
          <w:b w:val="0"/>
          <w:i w:val="0"/>
        </w:rPr>
        <w:t>- Các công trình nhà ở theo trục giao thông chính chủ yếu là nhà mặt phố có quy mô 2 - 3 tầng, nhà chung cư và liên kế có quy mô 2 - 4 tầng xây dựng theo dự án phát triển nhà ở của tỉnh; các nhà vườn được bố trí hợp lý theo địa hình và khu vực nhà ở hiện có.</w:t>
      </w:r>
    </w:p>
    <w:p>
      <w:pPr>
        <w:jc w:val="both"/>
      </w:pPr>
      <w:r>
        <w:rPr>
          <w:b w:val="0"/>
          <w:i w:val="0"/>
        </w:rPr>
        <w:t>- Đối với khu công viên cây xanh thì việc xây dựng sẽ được tiến hành trên cơ sở dự án đầu tư được phê duyệt nhằm cải thiện cảnh quan môi trường khu vực...</w:t>
      </w:r>
    </w:p>
    <w:p>
      <w:pPr>
        <w:jc w:val="both"/>
      </w:pPr>
      <w:r>
        <w:rPr>
          <w:b/>
          <w:i w:val="0"/>
        </w:rPr>
        <w:t>5. Quy hoạch mạng lưới kết cấu hạ tầng kỹ thuật:</w:t>
      </w:r>
    </w:p>
    <w:p>
      <w:pPr>
        <w:jc w:val="both"/>
      </w:pPr>
      <w:r>
        <w:rPr>
          <w:b w:val="0"/>
          <w:i/>
        </w:rPr>
        <w:t xml:space="preserve">5.1. Giao thông: </w:t>
      </w:r>
    </w:p>
    <w:p>
      <w:pPr>
        <w:jc w:val="both"/>
      </w:pPr>
      <w:r>
        <w:rPr>
          <w:b w:val="0"/>
          <w:i w:val="0"/>
        </w:rPr>
        <w:t>- Trục đường chính là đường Cách Mạng vuông góc với đường mới đi quốc lộ 19 và đi Trà Đa tạo một ngã ba khu vực có thiết kế nút phân luồng giao thông; chỉ giới xây dựng hai đường chính này là 30 m (từ tim đường đến mép chân công trình là 15 m). Phần mặt đường rộng 14 m (cho 4 làn xe), phần còn lại là vỉa hè và bố trí các công trình hạ tầng kỹ thuật.</w:t>
      </w:r>
    </w:p>
    <w:p>
      <w:pPr>
        <w:jc w:val="both"/>
      </w:pPr>
      <w:r>
        <w:rPr>
          <w:b w:val="0"/>
          <w:i w:val="0"/>
        </w:rPr>
        <w:t>- Hệ thống đường quy hoạch được bố trí phù hợp với việc phân lô và các khu chức năng, chỉ giới đường quy hoạch là 14 -17 m, mặt đường rộng 7,5 m.</w:t>
      </w:r>
    </w:p>
    <w:p>
      <w:pPr>
        <w:jc w:val="both"/>
      </w:pPr>
      <w:r>
        <w:rPr>
          <w:b w:val="0"/>
          <w:i w:val="0"/>
        </w:rPr>
        <w:t>- Cầu Sắt cũ được xây mới thành công Iaxoi dài 16 m, bề rộng mặt cống 14m có lan can.</w:t>
      </w:r>
    </w:p>
    <w:p>
      <w:pPr>
        <w:jc w:val="both"/>
      </w:pPr>
      <w:r>
        <w:rPr>
          <w:b w:val="0"/>
          <w:i w:val="0"/>
        </w:rPr>
        <w:t>- Đường dốc từ đường Cách Mạng nối với cống Iaxoi được thiết kế mở rộng có phân luồng phải đảm bảo an toàn giao thông cho đường ngang vào khu dân cư.</w:t>
      </w:r>
    </w:p>
    <w:p>
      <w:pPr>
        <w:jc w:val="both"/>
      </w:pPr>
      <w:r>
        <w:rPr>
          <w:b w:val="0"/>
          <w:i/>
        </w:rPr>
        <w:t xml:space="preserve">5.2. Cấp nước: </w:t>
      </w:r>
    </w:p>
    <w:p>
      <w:pPr>
        <w:jc w:val="both"/>
      </w:pPr>
      <w:r>
        <w:rPr>
          <w:b w:val="0"/>
          <w:i w:val="0"/>
        </w:rPr>
        <w:t xml:space="preserve">- Nguồn cấp nước chủ yếu lấy từ hệ thống cấp nước chung của thành phố. Riêng các công trình công cộng có quy mô lớn có thể sử dụng đồng thời 2 nguồn nước là nước máy và nước khoan ngầm mạch sâu (bệnh viện đa khoa, chung cư...). </w:t>
      </w:r>
    </w:p>
    <w:p>
      <w:pPr>
        <w:jc w:val="both"/>
      </w:pPr>
      <w:r>
        <w:rPr>
          <w:b w:val="0"/>
          <w:i w:val="0"/>
        </w:rPr>
        <w:t>- Tiêu chuẩn: 100 lít/người/ngày đêm.</w:t>
      </w:r>
    </w:p>
    <w:p>
      <w:pPr>
        <w:jc w:val="both"/>
      </w:pPr>
      <w:r>
        <w:rPr>
          <w:b w:val="0"/>
          <w:i/>
        </w:rPr>
        <w:t xml:space="preserve">5.3. Cấp điện chiếu sáng công cộng: </w:t>
      </w:r>
    </w:p>
    <w:p>
      <w:pPr>
        <w:jc w:val="both"/>
      </w:pPr>
      <w:r>
        <w:rPr>
          <w:b w:val="0"/>
          <w:i w:val="0"/>
        </w:rPr>
        <w:t>- Nguồn điện lấy từ trạm biến áp 110 KV thành phố Pleiku đường dẫn theo hệ thống đã có; tổng dung lượng cần cung cấp cho khu vực quy hoạch là 2000 KVA.</w:t>
      </w:r>
    </w:p>
    <w:p>
      <w:pPr>
        <w:jc w:val="both"/>
      </w:pPr>
      <w:r>
        <w:rPr>
          <w:b w:val="0"/>
          <w:i w:val="0"/>
        </w:rPr>
        <w:t>- Tiêu chuẩn 10 KW/người/ngày đêm.</w:t>
      </w:r>
    </w:p>
    <w:p>
      <w:pPr>
        <w:jc w:val="both"/>
      </w:pPr>
      <w:r>
        <w:rPr>
          <w:b w:val="0"/>
          <w:i/>
        </w:rPr>
        <w:t xml:space="preserve">5.4. San nền, thoát nước bẩn và vệ sinh môi trường: </w:t>
      </w:r>
    </w:p>
    <w:p>
      <w:pPr>
        <w:jc w:val="both"/>
      </w:pPr>
      <w:r>
        <w:rPr>
          <w:b w:val="0"/>
          <w:i w:val="0"/>
        </w:rPr>
        <w:t>- San nền cục bộ với độ dốc hạn chế từ 2 - 6%; tận dụng địa hình để thiết kế công trình cho phù hợp, nghiêm cấm việc san ủi tuỳ tiện ảnh hưởng đến tổng quan của khu vực.</w:t>
      </w:r>
    </w:p>
    <w:p>
      <w:pPr>
        <w:jc w:val="both"/>
      </w:pPr>
      <w:r>
        <w:rPr>
          <w:b w:val="0"/>
          <w:i w:val="0"/>
        </w:rPr>
        <w:t>- Hệ thống thoát nước mưa, thoát nước thải được xử lý cục bộ trong từng cụm công trình trước khi chảy vào hệ thống thoát nước chung của đô thị.</w:t>
      </w:r>
    </w:p>
    <w:p>
      <w:pPr>
        <w:jc w:val="both"/>
      </w:pPr>
      <w:r>
        <w:rPr>
          <w:b w:val="0"/>
          <w:i w:val="0"/>
        </w:rPr>
        <w:t>- Rác thải y tế của bệnh viện được xử lý tại chỗ theo quy trình kín tiên tiến; phần rác thải sinh hoạt của khu dân cư được thu gọn hàng ngày theo hệ thống của công ty dịch vụ đô thị.</w:t>
      </w:r>
    </w:p>
    <w:p>
      <w:pPr>
        <w:jc w:val="both"/>
      </w:pPr>
      <w:r>
        <w:rPr>
          <w:b/>
          <w:i w:val="0"/>
        </w:rPr>
        <w:t xml:space="preserve">6. Kế hoạch đầu tư xây dựng đợt đầu (2001 - 2005): </w:t>
      </w:r>
    </w:p>
    <w:p>
      <w:pPr>
        <w:jc w:val="both"/>
      </w:pPr>
      <w:r>
        <w:rPr>
          <w:b w:val="0"/>
          <w:i w:val="0"/>
        </w:rPr>
        <w:t>- Thống nhất các dự án ưu tiên:</w:t>
      </w:r>
    </w:p>
    <w:p>
      <w:pPr>
        <w:jc w:val="both"/>
      </w:pPr>
      <w:r>
        <w:rPr>
          <w:b w:val="0"/>
          <w:i w:val="0"/>
        </w:rPr>
        <w:t>+ Hoàn chỉnh dự án xây dựng Bệnh viện đa khoa tỉnh đưa vào sử dụng tháng 5-2001.</w:t>
      </w:r>
    </w:p>
    <w:p>
      <w:pPr>
        <w:jc w:val="both"/>
      </w:pPr>
      <w:r>
        <w:rPr>
          <w:b w:val="0"/>
          <w:i w:val="0"/>
        </w:rPr>
        <w:t>+ Xây dựng cống Iaxoi - nút giao thông tại ngã tư khu trung tâm - hệ thống chiếu sáng.</w:t>
      </w:r>
    </w:p>
    <w:p>
      <w:pPr>
        <w:jc w:val="both"/>
      </w:pPr>
      <w:r>
        <w:rPr>
          <w:b w:val="0"/>
          <w:i w:val="0"/>
        </w:rPr>
        <w:t>+ Xây dựng công viên cây xanh quy mô 3,2 ha trước bệnh viện.</w:t>
      </w:r>
    </w:p>
    <w:p>
      <w:pPr>
        <w:jc w:val="both"/>
      </w:pPr>
      <w:r>
        <w:rPr>
          <w:b w:val="0"/>
          <w:i w:val="0"/>
        </w:rPr>
        <w:t xml:space="preserve">+ Triển khai dự án trung tâm sinh hoạt văn hoá thanh niên. </w:t>
      </w:r>
    </w:p>
    <w:p>
      <w:pPr>
        <w:jc w:val="both"/>
      </w:pPr>
      <w:r>
        <w:rPr>
          <w:b w:val="0"/>
          <w:i w:val="0"/>
        </w:rPr>
        <w:t>+ Dự án khu dân cư mới (gồm 2 khu chung cư quy mô cho 100 căn hộ) và tiến hành thu hồi đất, giao đất hình thành các điểm dân cư theo quy hoạch kết hợp hình thành mạng lưới đường quy hoạch và xây dựng đồng bộ các công trình kỹ thuật hạ tầng khác.</w:t>
      </w:r>
    </w:p>
    <w:p>
      <w:pPr>
        <w:jc w:val="both"/>
      </w:pPr>
      <w:r>
        <w:rPr>
          <w:b w:val="0"/>
          <w:i w:val="0"/>
        </w:rPr>
        <w:t>+ Tiến hành giao đất thu tiền theo quy định khu nhà ở chuyên gia và CBCNV của Ban Quản lý thuỷ điện Ia Ly diện tích 2 ha.</w:t>
      </w:r>
    </w:p>
    <w:p>
      <w:pPr>
        <w:jc w:val="both"/>
      </w:pPr>
      <w:r>
        <w:rPr>
          <w:b/>
          <w:i w:val="0"/>
        </w:rPr>
        <w:t>Điều 2:</w:t>
      </w:r>
    </w:p>
    <w:p>
      <w:pPr>
        <w:jc w:val="both"/>
      </w:pPr>
      <w:r>
        <w:rPr>
          <w:b w:val="0"/>
          <w:i w:val="0"/>
        </w:rPr>
        <w:t>Giao cho Ủy ban nhân dân thành phố Pleiku chủ trì, phối hợp với các sở, ban ngành có liên quan và Ủy ban nhân dân các xã, phường trong khu quy hoạch chi tiết này để triển khai thực hiện.</w:t>
      </w:r>
    </w:p>
    <w:p>
      <w:pPr>
        <w:jc w:val="both"/>
      </w:pPr>
      <w:r>
        <w:rPr>
          <w:b w:val="0"/>
          <w:i w:val="0"/>
        </w:rPr>
        <w:t>- Tổ chức công bố quy hoạch xây dựng khu dân cư mới trong đô thị để các cơ quan đơn vị, cá nhân có liên quan thực hiện theo quy hoạch.</w:t>
      </w:r>
    </w:p>
    <w:p>
      <w:pPr>
        <w:jc w:val="both"/>
      </w:pPr>
      <w:r>
        <w:rPr>
          <w:b w:val="0"/>
          <w:i w:val="0"/>
        </w:rPr>
        <w:t>- Sở Địa chính căn cứ quy hoạch được duyệt hồ sơ thu hồi đất trình cấp có thẩm quyền quyết định trên cơ sở đó phối hợp với chính quyền địa phương xác định tính hợp pháp của các hộ sử dụng đất để giải quyết các vấn đề có liên quan khi thu hồi đất theo quy định hiện hành.</w:t>
      </w:r>
    </w:p>
    <w:p>
      <w:pPr>
        <w:jc w:val="both"/>
      </w:pPr>
      <w:r>
        <w:rPr>
          <w:b w:val="0"/>
          <w:i w:val="0"/>
        </w:rPr>
        <w:t>- Khi chỉ đạo thực hiện dự án quy hoạch xây dựng cần phối hợp với các ban, ngành, đoàn thể nhất là trường hợp huy động các nguồn để cải tạo, xây dựng theo đúng quy hoạch và pháp luật.</w:t>
      </w:r>
    </w:p>
    <w:p>
      <w:pPr>
        <w:jc w:val="both"/>
      </w:pPr>
      <w:r>
        <w:rPr>
          <w:b/>
          <w:i w:val="0"/>
        </w:rPr>
        <w:t xml:space="preserve">Điều 3: </w:t>
      </w:r>
      <w:r>
        <w:rPr>
          <w:b w:val="0"/>
          <w:i w:val="0"/>
        </w:rPr>
        <w:t>Các ông Chánh Văn phòng UBND tỉnh, Chủ tịch UBND thành phố Pleiku, Trưởng ban Tổ chức chính quyền tỉnh; Giám đốc các Sở: Xây dựng, Địa chính, Giao thông - Vận tải, Bưu điện, Công nghiệp, Y tế, Giáo dục, Thủ trưởng các ban ngành có liên quan chịu trách nhiệm thi hành quyết định này.</w:t>
      </w:r>
    </w:p>
    <w:p>
      <w:pPr>
        <w:jc w:val="both"/>
      </w:pPr>
      <w:r>
        <w:rPr>
          <w:b w:val="0"/>
          <w:i w:val="0"/>
        </w:rPr>
        <w:t>Quyết định này có hiệu lực thi hành kể từ ngày ký và thay thế điểm A Quyết định số 1600/1998/QĐ-UB ngày 21-11-1998, Quyết định số 1307/QĐ-UB ngày 13-10-1998 của UBND tỉnh Gia Lai và các văn bản có liên quan đến quy hoạch khu vực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Vỹ Hà</w:t>
      </w:r>
      <w:r>
        <w:rPr>
          <w:b/>
          <w:i w:val="0"/>
        </w:rPr>
        <w:br/>
      </w:r>
      <w:r>
        <w:rPr>
          <w:b/>
          <w:i w:val="0"/>
        </w:rPr>
        <w:br/>
      </w:r>
      <w:r>
        <w:rPr>
          <w:b w:val="0"/>
          <w:i w:val="0"/>
        </w:rPr>
        <w:br/>
      </w:r>
    </w:p>
    <w:p>
      <w:pPr>
        <w:jc w:val="both"/>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Vỹ Hà</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Vỹ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